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E8B8" w14:textId="3F3B7118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附件：</w:t>
      </w:r>
    </w:p>
    <w:p w14:paraId="1D40C41F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color w:val="333333"/>
          <w:sz w:val="27"/>
          <w:szCs w:val="27"/>
        </w:rPr>
      </w:pPr>
      <w:r>
        <w:rPr>
          <w:rFonts w:ascii="Calibri" w:eastAsia="仿宋" w:hAnsi="Calibri" w:cs="Calibri"/>
          <w:color w:val="333333"/>
          <w:sz w:val="32"/>
          <w:szCs w:val="32"/>
        </w:rPr>
        <w:t> </w:t>
      </w:r>
    </w:p>
    <w:p w14:paraId="58B0949B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仿宋" w:eastAsia="仿宋" w:hAnsi="仿宋" w:cs="Arial" w:hint="eastAsia"/>
          <w:color w:val="333333"/>
          <w:sz w:val="36"/>
          <w:szCs w:val="36"/>
        </w:rPr>
        <w:t>税务</w:t>
      </w:r>
      <w:proofErr w:type="gramStart"/>
      <w:r>
        <w:rPr>
          <w:rStyle w:val="a4"/>
          <w:rFonts w:ascii="仿宋" w:eastAsia="仿宋" w:hAnsi="仿宋" w:cs="Arial" w:hint="eastAsia"/>
          <w:color w:val="333333"/>
          <w:sz w:val="36"/>
          <w:szCs w:val="36"/>
        </w:rPr>
        <w:t>师行业</w:t>
      </w:r>
      <w:proofErr w:type="gramEnd"/>
      <w:r>
        <w:rPr>
          <w:rStyle w:val="a4"/>
          <w:rFonts w:ascii="仿宋" w:eastAsia="仿宋" w:hAnsi="仿宋" w:cs="Arial" w:hint="eastAsia"/>
          <w:color w:val="333333"/>
          <w:sz w:val="36"/>
          <w:szCs w:val="36"/>
        </w:rPr>
        <w:t>高端人才培训管理办法（试行）</w:t>
      </w:r>
    </w:p>
    <w:p w14:paraId="0941D2C2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Calibri" w:eastAsia="仿宋" w:hAnsi="Calibri" w:cs="Calibri"/>
          <w:color w:val="333333"/>
          <w:sz w:val="30"/>
          <w:szCs w:val="30"/>
        </w:rPr>
        <w:t> </w:t>
      </w:r>
    </w:p>
    <w:p w14:paraId="3D3F04CA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第一章</w:t>
      </w:r>
      <w:r>
        <w:rPr>
          <w:rStyle w:val="a4"/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总</w:t>
      </w:r>
      <w:r>
        <w:rPr>
          <w:rStyle w:val="a4"/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则</w:t>
      </w:r>
    </w:p>
    <w:p w14:paraId="35A78895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第一条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为规范和加强税务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师行业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高端人才（以下简称高端人才）培训管理工作，根据《中国注册税务师协会章程》《税务师继续教育管理办法》《税务师行业“十四五”时期发展规划》的要求，制定本办法。</w:t>
      </w:r>
    </w:p>
    <w:p w14:paraId="772F95BD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第二条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坚持以习近平新时代中国特色社会主义思想为指导，加强党对人才工作的全面领导，贯彻国家人才强国战略，通过有计划、有重点地选拔和培训一批中青年优秀人才，打造一支职业道德高尚、精通财税业务、懂得经营管理、具有国际业务能力的税务师行业（以下简称行业）高端人才队伍。</w:t>
      </w:r>
    </w:p>
    <w:p w14:paraId="77907D27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第三条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高端人才每年遴选一批。遴选按照“公开、公平、公正”的原则，科学组织、专家评议、择优遴选。</w:t>
      </w:r>
    </w:p>
    <w:p w14:paraId="7D1E26FE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第四条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中国注册税务师协会（以下简称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）设立高端人才评审委员会（以下简称评委会），评委会由税务师代表、有关部门代表及相关领域专家学者组成。</w:t>
      </w:r>
    </w:p>
    <w:p w14:paraId="08CAD8C9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第二章</w:t>
      </w:r>
      <w:r>
        <w:rPr>
          <w:rStyle w:val="a4"/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选拔条件</w:t>
      </w:r>
    </w:p>
    <w:p w14:paraId="68EB49E5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第五条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高端人才申请者应具备以下基本条件：</w:t>
      </w:r>
    </w:p>
    <w:p w14:paraId="257EBCD8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lastRenderedPageBreak/>
        <w:t>（一）拥护中国共产党的领导，依法依规诚信执业，严格遵守税务师职业道德；</w:t>
      </w:r>
    </w:p>
    <w:p w14:paraId="0A1F7E78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（二）税务师事务所的部门经理、项目经理以上职务；</w:t>
      </w:r>
    </w:p>
    <w:p w14:paraId="75436675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（三）登记成为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中税协会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员8年及以上；</w:t>
      </w:r>
    </w:p>
    <w:p w14:paraId="35BE7E6E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（四）“五险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一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金”等社会保险费在税务师事务所缴纳；</w:t>
      </w:r>
    </w:p>
    <w:p w14:paraId="68051966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（五）在申请当年1月1日未满45周岁。</w:t>
      </w:r>
    </w:p>
    <w:p w14:paraId="26AC5D49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第六条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符合上述基本条件，且具备下列条件之一的人员优先选拔：</w:t>
      </w:r>
    </w:p>
    <w:p w14:paraId="3D837D55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（一）“两代表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一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委员”（各级党代表、人大代表、政协委员）；</w:t>
      </w:r>
    </w:p>
    <w:p w14:paraId="786BE81D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（二）具有财经类中级以上职称；</w:t>
      </w:r>
    </w:p>
    <w:p w14:paraId="5EB49040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（三）受到过省（市）级以上表彰或在省级以上各类业务竞赛中获得奖励；</w:t>
      </w:r>
    </w:p>
    <w:p w14:paraId="500EE0DC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（四）在核心期刊上发表过与行业业务有关的学术论文。</w:t>
      </w:r>
    </w:p>
    <w:p w14:paraId="65D52A31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第七条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申请人有下列情况不得录取高端人才培训对象：</w:t>
      </w:r>
    </w:p>
    <w:p w14:paraId="3DC08493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（一）受到党纪、政纪处分或组织处理尚在影响期内的；</w:t>
      </w:r>
    </w:p>
    <w:p w14:paraId="1DAACF06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lastRenderedPageBreak/>
        <w:t>（二）违规提供涉税服务牟取利益，受到有关部门处罚的；</w:t>
      </w:r>
    </w:p>
    <w:p w14:paraId="3CD4E7EE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（三）受到行业自律惩戒的；</w:t>
      </w:r>
    </w:p>
    <w:p w14:paraId="4ED26BA1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（四）在申报过程中弄虚作假的。</w:t>
      </w:r>
    </w:p>
    <w:p w14:paraId="7977D4FA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第三章</w:t>
      </w:r>
      <w:r>
        <w:rPr>
          <w:rStyle w:val="a4"/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选拔程序</w:t>
      </w:r>
    </w:p>
    <w:p w14:paraId="053284B1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第八条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根据行业发展战略、高端人才发展总体目标和年度工作计划，公开发布申报通知。</w:t>
      </w:r>
    </w:p>
    <w:p w14:paraId="7E19362A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第九条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高端人才由个人自愿申报，税务师事务所推荐（分所同时需要总所推荐），执业所在地地方注册税务师协会（以下简称地方税协）初审汇总上报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。</w:t>
      </w:r>
    </w:p>
    <w:p w14:paraId="283FEE7B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第十条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申请者须按申报通知规定的内容和方式认真填报《申请书》及附件等材料，通过执业所在地地方税协提出申请。</w:t>
      </w:r>
    </w:p>
    <w:p w14:paraId="37ACBD06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第十一条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申请者所在地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地方税协应严格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按规定条件认真初审、签署推荐意见并盖章，按规定时间将《申请书》及附件等材料报送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中税协教育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培训部。</w:t>
      </w:r>
    </w:p>
    <w:p w14:paraId="78DC6EEF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第四章</w:t>
      </w:r>
      <w:r>
        <w:rPr>
          <w:rStyle w:val="a4"/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评审程序</w:t>
      </w:r>
    </w:p>
    <w:p w14:paraId="3B98CC46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第十二条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评审程序分为材料复核和评委会评审两个阶段。</w:t>
      </w:r>
    </w:p>
    <w:p w14:paraId="6FE1603C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第十三条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中税协教育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培训部对《申请书》及附件等材料进行复核。有以下情况之一者，不提交评委会评审：</w:t>
      </w:r>
    </w:p>
    <w:p w14:paraId="3435D097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（一）不符合申请条件；</w:t>
      </w:r>
    </w:p>
    <w:p w14:paraId="0F8FEED3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lastRenderedPageBreak/>
        <w:t>（二）不按规定要求填报申请书；</w:t>
      </w:r>
    </w:p>
    <w:p w14:paraId="1FC9D073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（三）提供的材料不齐全。</w:t>
      </w:r>
    </w:p>
    <w:p w14:paraId="1C4E7D4F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第十四条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评委会评审。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将对复核后的《申请书》及附件等材料提交评委会评审。评委会实行会议评审。评审规程另行制定。</w:t>
      </w:r>
    </w:p>
    <w:p w14:paraId="0A29F5A7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第十五条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评审结果由评委会主任签署意见，报中税协。</w:t>
      </w:r>
    </w:p>
    <w:p w14:paraId="06C1B2C1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第十六条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评审结果在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中税协官网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（www.cctaa.cn）进行公示。</w:t>
      </w:r>
    </w:p>
    <w:p w14:paraId="4FF35A99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第五章</w:t>
      </w:r>
      <w:r>
        <w:rPr>
          <w:rStyle w:val="a4"/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培训模式</w:t>
      </w:r>
    </w:p>
    <w:p w14:paraId="45E77A2C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第十七条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高端人才培训基地设在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扬州培训基地，培训周期为两年，以集中面授培训为主；第一年侧重于高端业务知识提高；第二年侧重于综合能力提升。面授课程总数不少于112个学时，每年培训期结束时，须参加考核。</w:t>
      </w:r>
    </w:p>
    <w:p w14:paraId="5C46B49D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第十八条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高端人才面授培训每期人数不超过200人。</w:t>
      </w:r>
    </w:p>
    <w:p w14:paraId="1F8BC194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第十九条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学员培训效果考核。两年培训期间，须提交两篇《案例分析》（每篇不少于3000字）。</w:t>
      </w:r>
    </w:p>
    <w:p w14:paraId="4F8E1CBD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第二十条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评委会对学员提交的《案例分析》进行审核评分，两篇均为80分以上，准予结业；80分以下，退回修改；60分以下，不予结业。</w:t>
      </w:r>
    </w:p>
    <w:p w14:paraId="19F14D90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lastRenderedPageBreak/>
        <w:t>第二十一条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《案例分析》评审结果由评委会主任签署意见，报中税协；《案例分析》版权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归中税协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所有，优秀案例汇编出版。</w:t>
      </w:r>
    </w:p>
    <w:p w14:paraId="59394B0D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第二十二条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学员完成学习任务，经评委会考评合格后，颁发《中国注册税务师协会高端人才培训结业证书》。</w:t>
      </w:r>
    </w:p>
    <w:p w14:paraId="06012557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第六章</w:t>
      </w:r>
      <w:r>
        <w:rPr>
          <w:rStyle w:val="a4"/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使用管理</w:t>
      </w:r>
    </w:p>
    <w:p w14:paraId="7502387E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第二十三条</w:t>
      </w:r>
      <w:proofErr w:type="gramStart"/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中税协和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地方税协要充分发挥高端人才在行业发展建设中的示范、引领作用，引导行业高端人才积极服务行业、社会。</w:t>
      </w:r>
    </w:p>
    <w:p w14:paraId="713E3B52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第二十四条</w:t>
      </w:r>
      <w:proofErr w:type="gramStart"/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中税协和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地方税协着重在以下方面发挥行业高端人才的作用：</w:t>
      </w:r>
    </w:p>
    <w:p w14:paraId="7B76BB3C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（一）参与行业业务准则、指引的制定；</w:t>
      </w:r>
    </w:p>
    <w:p w14:paraId="14F9F625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（二）参与行业信息专报编写；</w:t>
      </w:r>
    </w:p>
    <w:p w14:paraId="54649AF8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（三）参与行业继续教育授课；</w:t>
      </w:r>
    </w:p>
    <w:p w14:paraId="3299F868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（四）参与行业执业质量检查；</w:t>
      </w:r>
    </w:p>
    <w:p w14:paraId="57DB7F3A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（五）参与行业重点课题研究和创新型工作。</w:t>
      </w:r>
    </w:p>
    <w:p w14:paraId="1AACBEEC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第二十五条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行业高端人才参与服务行业工作，按会员继续教育相关规定，计入继续教育学时。</w:t>
      </w:r>
    </w:p>
    <w:p w14:paraId="702517F5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第二十六条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行业高端人才参与服务行业工作表现突出的，优先推荐参加区域或全国性的行业重点项目和相关工作等。</w:t>
      </w:r>
    </w:p>
    <w:p w14:paraId="5A1502FF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lastRenderedPageBreak/>
        <w:t>第二十七条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中税协建立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行业高端人才库，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供中税协和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地方税协选用。</w:t>
      </w:r>
    </w:p>
    <w:p w14:paraId="7320C72D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第七章</w:t>
      </w:r>
      <w:r>
        <w:rPr>
          <w:rStyle w:val="a4"/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附</w:t>
      </w:r>
      <w:r>
        <w:rPr>
          <w:rStyle w:val="a4"/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Style w:val="a4"/>
          <w:rFonts w:ascii="仿宋" w:eastAsia="仿宋" w:hAnsi="仿宋" w:cs="Arial" w:hint="eastAsia"/>
          <w:color w:val="333333"/>
          <w:sz w:val="32"/>
          <w:szCs w:val="32"/>
        </w:rPr>
        <w:t>则</w:t>
      </w:r>
    </w:p>
    <w:p w14:paraId="4B8601AF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第二十八条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本办法由</w:t>
      </w:r>
      <w:proofErr w:type="gramStart"/>
      <w:r>
        <w:rPr>
          <w:rFonts w:ascii="仿宋" w:eastAsia="仿宋" w:hAnsi="仿宋" w:cs="Arial" w:hint="eastAsia"/>
          <w:color w:val="333333"/>
          <w:sz w:val="32"/>
          <w:szCs w:val="32"/>
        </w:rPr>
        <w:t>中税协负责</w:t>
      </w:r>
      <w:proofErr w:type="gramEnd"/>
      <w:r>
        <w:rPr>
          <w:rFonts w:ascii="仿宋" w:eastAsia="仿宋" w:hAnsi="仿宋" w:cs="Arial" w:hint="eastAsia"/>
          <w:color w:val="333333"/>
          <w:sz w:val="32"/>
          <w:szCs w:val="32"/>
        </w:rPr>
        <w:t>解释。</w:t>
      </w:r>
    </w:p>
    <w:p w14:paraId="6EFB659F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ind w:firstLine="645"/>
        <w:rPr>
          <w:rFonts w:ascii="Arial" w:hAnsi="Arial" w:cs="Arial"/>
          <w:color w:val="333333"/>
          <w:sz w:val="27"/>
          <w:szCs w:val="27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第二十九条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本办法自发布之日起执行。</w:t>
      </w:r>
    </w:p>
    <w:p w14:paraId="3D7676CE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color w:val="333333"/>
          <w:sz w:val="27"/>
          <w:szCs w:val="27"/>
        </w:rPr>
      </w:pPr>
      <w:r>
        <w:rPr>
          <w:rFonts w:ascii="Calibri" w:eastAsia="仿宋" w:hAnsi="Calibri" w:cs="Calibri"/>
          <w:color w:val="333333"/>
          <w:sz w:val="32"/>
          <w:szCs w:val="32"/>
        </w:rPr>
        <w:t> </w:t>
      </w:r>
    </w:p>
    <w:p w14:paraId="04B88200" w14:textId="77777777" w:rsidR="008D22E8" w:rsidRDefault="008D22E8" w:rsidP="008D22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Calibri" w:hAnsi="Calibri" w:cs="Calibri"/>
          <w:color w:val="333333"/>
          <w:sz w:val="21"/>
          <w:szCs w:val="21"/>
        </w:rPr>
        <w:t> </w:t>
      </w:r>
    </w:p>
    <w:p w14:paraId="673EB167" w14:textId="77777777" w:rsidR="00F63A5D" w:rsidRPr="008D22E8" w:rsidRDefault="00000000"/>
    <w:sectPr w:rsidR="00F63A5D" w:rsidRPr="008D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E8"/>
    <w:rsid w:val="0074369C"/>
    <w:rsid w:val="008D22E8"/>
    <w:rsid w:val="0092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E6676"/>
  <w15:chartTrackingRefBased/>
  <w15:docId w15:val="{EB5E4ED0-76D2-4E56-A0EB-0343A8F7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2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D2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晓冰 赵</dc:creator>
  <cp:keywords/>
  <dc:description/>
  <cp:lastModifiedBy>晓冰 赵</cp:lastModifiedBy>
  <cp:revision>1</cp:revision>
  <dcterms:created xsi:type="dcterms:W3CDTF">2022-07-19T01:30:00Z</dcterms:created>
  <dcterms:modified xsi:type="dcterms:W3CDTF">2022-07-19T01:31:00Z</dcterms:modified>
</cp:coreProperties>
</file>