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spacing w:before="0" w:beforeAutospacing="0" w:after="0" w:afterAutospacing="0" w:line="360" w:lineRule="atLeast"/>
        <w:jc w:val="center"/>
        <w:rPr>
          <w:rFonts w:ascii="黑体" w:hAnsi="黑体" w:eastAsia="黑体"/>
          <w:b/>
          <w:bCs/>
          <w:color w:val="333333"/>
          <w:sz w:val="44"/>
          <w:szCs w:val="44"/>
        </w:rPr>
      </w:pPr>
      <w:r>
        <w:rPr>
          <w:rStyle w:val="6"/>
          <w:rFonts w:hint="eastAsia" w:ascii="黑体" w:hAnsi="黑体" w:eastAsia="黑体"/>
          <w:color w:val="333333"/>
          <w:sz w:val="44"/>
          <w:szCs w:val="44"/>
        </w:rPr>
        <w:t>河南省税务师事务所等级认定办法</w:t>
      </w:r>
    </w:p>
    <w:p>
      <w:pPr>
        <w:pStyle w:val="3"/>
        <w:shd w:val="clear" w:color="auto"/>
        <w:spacing w:before="0" w:beforeAutospacing="0" w:after="0" w:afterAutospacing="0" w:line="360" w:lineRule="atLeast"/>
        <w:jc w:val="center"/>
        <w:rPr>
          <w:rFonts w:ascii="仿宋" w:hAnsi="仿宋" w:eastAsia="仿宋"/>
          <w:b/>
          <w:bCs/>
          <w:color w:val="333333"/>
          <w:sz w:val="32"/>
          <w:szCs w:val="32"/>
        </w:rPr>
      </w:pPr>
      <w:r>
        <w:rPr>
          <w:rFonts w:hint="eastAsia" w:ascii="仿宋" w:hAnsi="仿宋" w:eastAsia="仿宋"/>
          <w:b/>
          <w:bCs/>
          <w:color w:val="333333"/>
          <w:sz w:val="32"/>
          <w:szCs w:val="32"/>
        </w:rPr>
        <w:t>（2020年修订）</w:t>
      </w:r>
    </w:p>
    <w:p>
      <w:pPr>
        <w:pStyle w:val="3"/>
        <w:shd w:val="clear" w:color="auto"/>
        <w:spacing w:before="0" w:beforeAutospacing="0" w:after="0" w:afterAutospacing="0" w:line="360" w:lineRule="atLeast"/>
        <w:ind w:firstLine="480"/>
        <w:rPr>
          <w:rFonts w:ascii="仿宋" w:hAnsi="仿宋" w:eastAsia="仿宋"/>
          <w:color w:val="333333"/>
          <w:sz w:val="32"/>
          <w:szCs w:val="32"/>
        </w:rPr>
      </w:pPr>
      <w:r>
        <w:rPr>
          <w:rFonts w:hint="eastAsia"/>
          <w:color w:val="333333"/>
          <w:sz w:val="32"/>
          <w:szCs w:val="32"/>
        </w:rPr>
        <w:t> </w:t>
      </w:r>
      <w:bookmarkStart w:id="0" w:name="_GoBack"/>
      <w:bookmarkEnd w:id="0"/>
    </w:p>
    <w:p>
      <w:pPr>
        <w:pStyle w:val="3"/>
        <w:shd w:val="clear" w:color="auto"/>
        <w:spacing w:before="0" w:beforeAutospacing="0" w:after="0" w:afterAutospacing="0" w:line="360" w:lineRule="atLeast"/>
        <w:jc w:val="center"/>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第一章</w:t>
      </w:r>
      <w:r>
        <w:rPr>
          <w:rStyle w:val="7"/>
          <w:rFonts w:hint="eastAsia" w:ascii="仿宋" w:hAnsi="仿宋" w:eastAsia="仿宋" w:cs="仿宋"/>
          <w:b/>
          <w:bCs/>
          <w:color w:val="333333"/>
          <w:sz w:val="32"/>
          <w:szCs w:val="32"/>
          <w:lang w:val="en-US" w:eastAsia="zh-CN"/>
        </w:rPr>
        <w:t xml:space="preserve">  </w:t>
      </w:r>
      <w:r>
        <w:rPr>
          <w:rStyle w:val="6"/>
          <w:rFonts w:hint="eastAsia" w:ascii="仿宋" w:hAnsi="仿宋" w:eastAsia="仿宋" w:cs="仿宋"/>
          <w:color w:val="333333"/>
          <w:sz w:val="32"/>
          <w:szCs w:val="32"/>
        </w:rPr>
        <w:t>总则</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第一条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为促进我省税务师行业依法经营、规范发展，推动税务师事务所做强做大、做精做专，提高社会知名度，推动行业高质量发展，根据《中国注册税务师协会等级税务师事务所认定办法（2018年修订）》等有关规定，结合我省实际，制定本办法。</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第二条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本办法所称的税务师事务所是指加入河南省注册税务师协会（以下简称省税协）的税务师事务所。</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第三条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等级税务师事务所的认定，由税务师事务所自愿申请，中国注册税务师协会（以下简称中税协）和省税协审核认定。</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第四条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 xml:space="preserve">等级税务师事务所分为五级，即A级、AA级、AAA级、AAAA级、AAAAA级。中税协负责AAAA级、AAAAA级税务师事务所的审核认定；省税协负责A级、AA级、AAA级税务师事务所的审核认定。本办法适用于A级、AA级、AAA级税务师事务所的等级认定。                          </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第五条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获得等级的税务师事务所应具备专业优势、核心竞争力，享有执业信誉。</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b/>
          <w:bCs/>
          <w:color w:val="333333"/>
          <w:sz w:val="32"/>
          <w:szCs w:val="32"/>
        </w:rPr>
      </w:pPr>
      <w:r>
        <w:rPr>
          <w:rFonts w:hint="eastAsia" w:ascii="仿宋" w:hAnsi="仿宋" w:eastAsia="仿宋" w:cs="仿宋"/>
          <w:color w:val="333333"/>
          <w:sz w:val="32"/>
          <w:szCs w:val="32"/>
        </w:rPr>
        <w:t xml:space="preserve">          </w:t>
      </w:r>
      <w:r>
        <w:rPr>
          <w:rFonts w:hint="eastAsia" w:ascii="仿宋" w:hAnsi="仿宋" w:eastAsia="仿宋" w:cs="仿宋"/>
          <w:b/>
          <w:bCs/>
          <w:color w:val="333333"/>
          <w:sz w:val="32"/>
          <w:szCs w:val="32"/>
        </w:rPr>
        <w:t>第二章</w:t>
      </w:r>
      <w:r>
        <w:rPr>
          <w:rFonts w:hint="eastAsia" w:ascii="仿宋" w:hAnsi="仿宋" w:eastAsia="仿宋" w:cs="仿宋"/>
          <w:b/>
          <w:bCs/>
          <w:color w:val="333333"/>
          <w:sz w:val="32"/>
          <w:szCs w:val="32"/>
          <w:lang w:val="en-US" w:eastAsia="zh-CN"/>
        </w:rPr>
        <w:t xml:space="preserve">  </w:t>
      </w:r>
      <w:r>
        <w:rPr>
          <w:rFonts w:hint="eastAsia" w:ascii="仿宋" w:hAnsi="仿宋" w:eastAsia="仿宋" w:cs="仿宋"/>
          <w:b/>
          <w:bCs/>
          <w:color w:val="333333"/>
          <w:sz w:val="32"/>
          <w:szCs w:val="32"/>
        </w:rPr>
        <w:t>参评资格</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第六条</w:t>
      </w:r>
      <w:r>
        <w:rPr>
          <w:rFonts w:hint="eastAsia" w:ascii="仿宋" w:hAnsi="仿宋" w:eastAsia="仿宋" w:cs="仿宋"/>
          <w:b/>
          <w:bCs/>
          <w:color w:val="333333"/>
          <w:sz w:val="32"/>
          <w:szCs w:val="32"/>
          <w:lang w:val="en-US" w:eastAsia="zh-CN"/>
        </w:rPr>
        <w:t xml:space="preserve"> </w:t>
      </w:r>
      <w:r>
        <w:rPr>
          <w:rFonts w:hint="eastAsia" w:ascii="仿宋" w:hAnsi="仿宋" w:eastAsia="仿宋" w:cs="仿宋"/>
          <w:color w:val="333333"/>
          <w:sz w:val="32"/>
          <w:szCs w:val="32"/>
        </w:rPr>
        <w:t>按本办法参加评定的税务师事务所必须在规定的考核年度内符合以下各项基本条件，方具有参评资格。</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在本省依法设立一年以上，并正常开展执业活动，且经营活动周期跨一个完整的会计年度；</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上年度年检合格，无重大违法违规行为发生；</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三</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执业税务师人数5人以上；</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四</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上年度年业务收入100万</w:t>
      </w:r>
      <w:r>
        <w:rPr>
          <w:rFonts w:hint="eastAsia" w:ascii="仿宋" w:hAnsi="仿宋" w:eastAsia="仿宋" w:cs="仿宋"/>
          <w:color w:val="333333"/>
          <w:sz w:val="32"/>
          <w:szCs w:val="32"/>
          <w:lang w:val="en-US" w:eastAsia="zh-CN"/>
        </w:rPr>
        <w:t>元</w:t>
      </w:r>
      <w:r>
        <w:rPr>
          <w:rFonts w:hint="eastAsia" w:ascii="仿宋" w:hAnsi="仿宋" w:eastAsia="仿宋" w:cs="仿宋"/>
          <w:color w:val="333333"/>
          <w:sz w:val="32"/>
          <w:szCs w:val="32"/>
        </w:rPr>
        <w:t>以上，且利润总额</w:t>
      </w:r>
      <w:r>
        <w:rPr>
          <w:rFonts w:hint="eastAsia" w:ascii="仿宋" w:hAnsi="仿宋" w:eastAsia="仿宋" w:cs="仿宋"/>
          <w:color w:val="333333"/>
          <w:sz w:val="32"/>
          <w:szCs w:val="32"/>
          <w:lang w:val="en-US" w:eastAsia="zh-CN"/>
        </w:rPr>
        <w:t>或</w:t>
      </w:r>
      <w:r>
        <w:rPr>
          <w:rFonts w:hint="eastAsia" w:ascii="仿宋" w:hAnsi="仿宋" w:eastAsia="仿宋" w:cs="仿宋"/>
          <w:color w:val="333333"/>
          <w:sz w:val="32"/>
          <w:szCs w:val="32"/>
        </w:rPr>
        <w:t>纳税调整后所得大于零；</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五</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涉税专业服务信用等级不低于TSC3级；</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6"/>
          <w:rFonts w:hint="eastAsia" w:ascii="仿宋" w:hAnsi="仿宋" w:eastAsia="仿宋" w:cs="仿宋"/>
          <w:b w:val="0"/>
          <w:bCs w:val="0"/>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六</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纳税信用不得为D级。</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第三章</w:t>
      </w:r>
      <w:r>
        <w:rPr>
          <w:rStyle w:val="7"/>
          <w:rFonts w:hint="eastAsia" w:ascii="仿宋" w:hAnsi="仿宋" w:eastAsia="仿宋" w:cs="仿宋"/>
          <w:b/>
          <w:bCs/>
          <w:color w:val="333333"/>
          <w:sz w:val="32"/>
          <w:szCs w:val="32"/>
          <w:lang w:val="en-US" w:eastAsia="zh-CN"/>
        </w:rPr>
        <w:t xml:space="preserve">  </w:t>
      </w:r>
      <w:r>
        <w:rPr>
          <w:rStyle w:val="6"/>
          <w:rFonts w:hint="eastAsia" w:ascii="仿宋" w:hAnsi="仿宋" w:eastAsia="仿宋" w:cs="仿宋"/>
          <w:color w:val="333333"/>
          <w:sz w:val="32"/>
          <w:szCs w:val="32"/>
        </w:rPr>
        <w:t>认定标准</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第七条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等级税务师事务所认定标准包括五个方面，分别为：执业资质、经营规模及业绩、执业规范和社会诚信、内部管理、党建统战工作等五个方面。</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具体认定标准见附件1：《河南省税务师事务所等级认定标准》。</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第八条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等级税务师事务所认定采取项目评分制，满分100分，90分以上合格。</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第四章</w:t>
      </w:r>
      <w:r>
        <w:rPr>
          <w:rStyle w:val="7"/>
          <w:rFonts w:hint="eastAsia" w:ascii="仿宋" w:hAnsi="仿宋" w:eastAsia="仿宋" w:cs="仿宋"/>
          <w:b/>
          <w:bCs/>
          <w:color w:val="333333"/>
          <w:sz w:val="32"/>
          <w:szCs w:val="32"/>
          <w:lang w:val="en-US" w:eastAsia="zh-CN"/>
        </w:rPr>
        <w:t xml:space="preserve">  </w:t>
      </w:r>
      <w:r>
        <w:rPr>
          <w:rStyle w:val="6"/>
          <w:rFonts w:hint="eastAsia" w:ascii="仿宋" w:hAnsi="仿宋" w:eastAsia="仿宋" w:cs="仿宋"/>
          <w:color w:val="333333"/>
          <w:sz w:val="32"/>
          <w:szCs w:val="32"/>
        </w:rPr>
        <w:t>认定程序</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第九条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税务师事务所向省税协申请等级。</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税务师事务所申请等级认定应提供如下材料：</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w:t>
      </w:r>
      <w:r>
        <w:rPr>
          <w:rFonts w:hint="eastAsia" w:ascii="仿宋" w:hAnsi="仿宋" w:eastAsia="仿宋" w:cs="仿宋"/>
          <w:color w:val="333333"/>
          <w:sz w:val="32"/>
          <w:szCs w:val="32"/>
          <w:lang w:val="en-US" w:eastAsia="zh-CN"/>
        </w:rPr>
        <w:t>河南省</w:t>
      </w:r>
      <w:r>
        <w:rPr>
          <w:rFonts w:hint="eastAsia" w:ascii="仿宋" w:hAnsi="仿宋" w:eastAsia="仿宋" w:cs="仿宋"/>
          <w:color w:val="333333"/>
          <w:sz w:val="32"/>
          <w:szCs w:val="32"/>
        </w:rPr>
        <w:t>税务师事务所等级认定申请表》（见附件2）；</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（二）税务师事务所行政登记证书、营业执照（副本）、公司章程复印件；</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（三）税务师事务所对分支机构拥有实际控制权的证明材料、原所变更或注销的相关证明（集团化税务师事务所适用）；</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（四）税务师事务所从业人员名单（注明资格证书和个人会员证编号）；</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（五）税务师事务所全体职工的劳动合同清单和为职工缴纳社会保险的相关证明；</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（六）上年度财务报表；</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（七）上年度应交已交税金统计表；</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（八）内部管理制度；</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（九）上年度会费交纳凭证复印件；</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（十）省税协规定的其他证明材料。</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第十一条</w:t>
      </w:r>
      <w:r>
        <w:rPr>
          <w:rFonts w:hint="eastAsia" w:ascii="仿宋" w:hAnsi="仿宋" w:eastAsia="仿宋" w:cs="仿宋"/>
          <w:b/>
          <w:bCs/>
          <w:color w:val="333333"/>
          <w:sz w:val="32"/>
          <w:szCs w:val="32"/>
          <w:lang w:val="en-US" w:eastAsia="zh-CN"/>
        </w:rPr>
        <w:t xml:space="preserve"> </w:t>
      </w:r>
      <w:r>
        <w:rPr>
          <w:rFonts w:hint="eastAsia" w:ascii="仿宋" w:hAnsi="仿宋" w:eastAsia="仿宋" w:cs="仿宋"/>
          <w:color w:val="333333"/>
          <w:sz w:val="32"/>
          <w:szCs w:val="32"/>
        </w:rPr>
        <w:t>税务师事务所等级认定资料按规定时间和要求报送至省税协行业发展部，逾期报送不再受理。</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税务师事务所等级认定工作原则上每年上半年进行。具体开展时间以当年等级税务师事务所认定工作通知文件为准。</w:t>
      </w:r>
    </w:p>
    <w:p>
      <w:pPr>
        <w:keepNext w:val="0"/>
        <w:keepLines w:val="0"/>
        <w:pageBreakBefore w:val="0"/>
        <w:shd w:val="clea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第十二条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省税协受理税务师事务所A级、AA级、AAA级申请后，组织审核小组对税务师事务所进行实地审核，并写出审核意见。</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第十三条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省税协会长专题会对经审核的等级税务师事务所进行审议，通过后向社会公示五个工作日，公示期无异议由省税协会长办公会审议通过后向社会公告。</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A级、AA级、AAA级税务师事务所认定后，省税协将认定的等级税务师事务所名单报中税协备案，及时在中税协信息服务平台更新其等级信息。</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第十四条</w:t>
      </w:r>
      <w:r>
        <w:rPr>
          <w:rStyle w:val="6"/>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省税协向新通过等级认定和等级有变化的事务所发放等级证书和牌匾，等级不变的事务所在等级证书上加盖等级认定专用章。</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Style w:val="6"/>
          <w:rFonts w:hint="eastAsia" w:ascii="仿宋" w:hAnsi="仿宋" w:eastAsia="仿宋" w:cs="仿宋"/>
          <w:color w:val="333333"/>
          <w:sz w:val="32"/>
          <w:szCs w:val="32"/>
        </w:rPr>
      </w:pPr>
      <w:r>
        <w:rPr>
          <w:rStyle w:val="6"/>
          <w:rFonts w:hint="eastAsia" w:ascii="仿宋" w:hAnsi="仿宋" w:eastAsia="仿宋" w:cs="仿宋"/>
          <w:color w:val="333333"/>
          <w:sz w:val="32"/>
          <w:szCs w:val="32"/>
        </w:rPr>
        <w:t>第五章</w:t>
      </w:r>
      <w:r>
        <w:rPr>
          <w:rStyle w:val="7"/>
          <w:rFonts w:hint="eastAsia" w:ascii="仿宋" w:hAnsi="仿宋" w:eastAsia="仿宋" w:cs="仿宋"/>
          <w:b/>
          <w:bCs/>
          <w:color w:val="333333"/>
          <w:sz w:val="32"/>
          <w:szCs w:val="32"/>
          <w:lang w:val="en-US" w:eastAsia="zh-CN"/>
        </w:rPr>
        <w:t xml:space="preserve">  </w:t>
      </w:r>
      <w:r>
        <w:rPr>
          <w:rStyle w:val="6"/>
          <w:rFonts w:hint="eastAsia" w:ascii="仿宋" w:hAnsi="仿宋" w:eastAsia="仿宋" w:cs="仿宋"/>
          <w:color w:val="333333"/>
          <w:sz w:val="32"/>
          <w:szCs w:val="32"/>
        </w:rPr>
        <w:t>等级管理</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5"/>
        <w:textAlignment w:val="auto"/>
        <w:rPr>
          <w:rStyle w:val="6"/>
          <w:rFonts w:hint="eastAsia" w:ascii="仿宋" w:hAnsi="仿宋" w:eastAsia="仿宋" w:cs="仿宋"/>
          <w:b w:val="0"/>
          <w:bCs w:val="0"/>
          <w:color w:val="333333"/>
          <w:sz w:val="32"/>
          <w:szCs w:val="32"/>
        </w:rPr>
      </w:pPr>
      <w:r>
        <w:rPr>
          <w:rStyle w:val="6"/>
          <w:rFonts w:hint="eastAsia" w:ascii="仿宋" w:hAnsi="仿宋" w:eastAsia="仿宋" w:cs="仿宋"/>
          <w:color w:val="333333"/>
          <w:sz w:val="32"/>
          <w:szCs w:val="32"/>
        </w:rPr>
        <w:t>第十五条</w:t>
      </w:r>
      <w:r>
        <w:rPr>
          <w:rStyle w:val="6"/>
          <w:rFonts w:hint="eastAsia" w:ascii="仿宋" w:hAnsi="仿宋" w:eastAsia="仿宋" w:cs="仿宋"/>
          <w:color w:val="333333"/>
          <w:sz w:val="32"/>
          <w:szCs w:val="32"/>
          <w:lang w:val="en-US" w:eastAsia="zh-CN"/>
        </w:rPr>
        <w:t xml:space="preserve"> </w:t>
      </w:r>
      <w:r>
        <w:rPr>
          <w:rStyle w:val="6"/>
          <w:rFonts w:hint="eastAsia" w:ascii="仿宋" w:hAnsi="仿宋" w:eastAsia="仿宋" w:cs="仿宋"/>
          <w:b w:val="0"/>
          <w:bCs w:val="0"/>
          <w:color w:val="333333"/>
          <w:sz w:val="32"/>
          <w:szCs w:val="32"/>
        </w:rPr>
        <w:t>等级税务师事务所每年评定一次，经评定的等级事务所，有效期自当年评定结果公告之日起至下年度评定结果公告之日止。</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5"/>
        <w:textAlignment w:val="auto"/>
        <w:rPr>
          <w:rStyle w:val="6"/>
          <w:rFonts w:hint="eastAsia" w:ascii="仿宋" w:hAnsi="仿宋" w:eastAsia="仿宋" w:cs="仿宋"/>
          <w:b w:val="0"/>
          <w:bCs w:val="0"/>
          <w:color w:val="333333"/>
          <w:sz w:val="32"/>
          <w:szCs w:val="32"/>
        </w:rPr>
      </w:pPr>
      <w:r>
        <w:rPr>
          <w:rStyle w:val="6"/>
          <w:rFonts w:hint="eastAsia" w:ascii="仿宋" w:hAnsi="仿宋" w:eastAsia="仿宋" w:cs="仿宋"/>
          <w:b w:val="0"/>
          <w:bCs w:val="0"/>
          <w:color w:val="333333"/>
          <w:sz w:val="32"/>
          <w:szCs w:val="32"/>
        </w:rPr>
        <w:t>为了便于管理，对新申请等级的税务师事务所有效期暂定自当年评定结果公告之日起至下年度9月30日止。</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5"/>
        <w:jc w:val="both"/>
        <w:textAlignment w:val="auto"/>
        <w:rPr>
          <w:rStyle w:val="6"/>
          <w:rFonts w:hint="eastAsia" w:ascii="仿宋" w:hAnsi="仿宋" w:eastAsia="仿宋" w:cs="仿宋"/>
          <w:b w:val="0"/>
          <w:bCs w:val="0"/>
          <w:color w:val="333333"/>
          <w:sz w:val="32"/>
          <w:szCs w:val="32"/>
        </w:rPr>
      </w:pPr>
      <w:r>
        <w:rPr>
          <w:rStyle w:val="6"/>
          <w:rFonts w:hint="eastAsia" w:ascii="仿宋" w:hAnsi="仿宋" w:eastAsia="仿宋" w:cs="仿宋"/>
          <w:b w:val="0"/>
          <w:bCs w:val="0"/>
          <w:color w:val="333333"/>
          <w:sz w:val="32"/>
          <w:szCs w:val="32"/>
        </w:rPr>
        <w:t>对上年度已经认定等级未发生变化的等级税务师事务所，在等级证书上加盖“等级认定专用章”，有效期延至下年度的9月30日止，以此类推。</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5"/>
        <w:jc w:val="both"/>
        <w:textAlignment w:val="auto"/>
        <w:rPr>
          <w:rStyle w:val="6"/>
          <w:rFonts w:hint="eastAsia" w:ascii="仿宋" w:hAnsi="仿宋" w:eastAsia="仿宋" w:cs="仿宋"/>
          <w:b w:val="0"/>
          <w:bCs w:val="0"/>
          <w:color w:val="333333"/>
          <w:sz w:val="32"/>
          <w:szCs w:val="32"/>
        </w:rPr>
      </w:pPr>
      <w:r>
        <w:rPr>
          <w:rStyle w:val="6"/>
          <w:rFonts w:hint="eastAsia" w:ascii="仿宋" w:hAnsi="仿宋" w:eastAsia="仿宋" w:cs="仿宋"/>
          <w:b w:val="0"/>
          <w:bCs w:val="0"/>
          <w:color w:val="333333"/>
          <w:sz w:val="32"/>
          <w:szCs w:val="32"/>
        </w:rPr>
        <w:t>对已经认定的等级税务师事务所本年度发生等级变化的，按新的等级颁发牌匾及税务师事务所等级证书。</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6"/>
        <w:jc w:val="both"/>
        <w:textAlignment w:val="auto"/>
        <w:rPr>
          <w:rStyle w:val="6"/>
          <w:rFonts w:hint="eastAsia" w:ascii="仿宋" w:hAnsi="仿宋" w:eastAsia="仿宋" w:cs="仿宋"/>
          <w:color w:val="333333"/>
          <w:sz w:val="32"/>
          <w:szCs w:val="32"/>
        </w:rPr>
      </w:pPr>
      <w:r>
        <w:rPr>
          <w:rStyle w:val="6"/>
          <w:rFonts w:hint="eastAsia" w:ascii="仿宋" w:hAnsi="仿宋" w:eastAsia="仿宋" w:cs="仿宋"/>
          <w:b w:val="0"/>
          <w:bCs w:val="0"/>
          <w:color w:val="333333"/>
          <w:sz w:val="32"/>
          <w:szCs w:val="32"/>
        </w:rPr>
        <w:t>对已经认定的等级税务师事务所本年度发生等级变化或取消等级认定的，原暂定的有效期自本年度认定结果公告之日自行终止。</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第十六条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省税协每年在常规报送资料和行业年度报表基础上对已获得等级的税务师事务所进行书面复核，按附件1规定的内容采取重点抽查的方式进行实地审核。</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对书面复核指标异常的税务师事务所须进行实地审核。</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第十七条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已获得等级且等级没有发生变化的税务师事务所不需要重新申请</w:t>
      </w:r>
      <w:r>
        <w:rPr>
          <w:rFonts w:hint="eastAsia" w:ascii="仿宋" w:hAnsi="仿宋" w:eastAsia="仿宋" w:cs="仿宋"/>
          <w:color w:val="333333"/>
          <w:sz w:val="32"/>
          <w:szCs w:val="32"/>
          <w:lang w:val="en-US" w:eastAsia="zh-CN"/>
        </w:rPr>
        <w:t>和</w:t>
      </w:r>
      <w:r>
        <w:rPr>
          <w:rFonts w:hint="eastAsia" w:ascii="仿宋" w:hAnsi="仿宋" w:eastAsia="仿宋" w:cs="仿宋"/>
          <w:color w:val="333333"/>
          <w:sz w:val="32"/>
          <w:szCs w:val="32"/>
        </w:rPr>
        <w:t>报送第十条规定的材料。</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第十八条</w:t>
      </w:r>
      <w:r>
        <w:rPr>
          <w:rStyle w:val="6"/>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对报送资料或填报信息不实的等级税务师事务所，扣除相关项目的分数；情节严重的，取消其等级及下一年度的等级申请资格并通报。</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第十九条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税务师事务所获得等级后如有重组、合并、分立等重大变更事项的，按照本办法重新申请等级认定。</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第二十条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 xml:space="preserve">税务师事务所等级评定后其等级发生变化或取消等级认定的，在等级发生变化或取消后15日内收回原颁发的牌匾和证书。 </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第六章</w:t>
      </w:r>
      <w:r>
        <w:rPr>
          <w:rStyle w:val="6"/>
          <w:rFonts w:hint="eastAsia" w:ascii="仿宋" w:hAnsi="仿宋" w:eastAsia="仿宋" w:cs="仿宋"/>
          <w:color w:val="333333"/>
          <w:sz w:val="32"/>
          <w:szCs w:val="32"/>
          <w:lang w:val="en-US" w:eastAsia="zh-CN"/>
        </w:rPr>
        <w:t xml:space="preserve">  </w:t>
      </w:r>
      <w:r>
        <w:rPr>
          <w:rStyle w:val="6"/>
          <w:rFonts w:hint="eastAsia" w:ascii="仿宋" w:hAnsi="仿宋" w:eastAsia="仿宋" w:cs="仿宋"/>
          <w:color w:val="333333"/>
          <w:sz w:val="32"/>
          <w:szCs w:val="32"/>
        </w:rPr>
        <w:t>集团化规定</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第二十一条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具有母子、总分、母子加总分及其他组织形式的税务师事务所，应符合以下要求：</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税务师事务所总部应对分支机构的股权比例超过50%，拥有实际控制权</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税务师事务所总部对分支机构的股权以总公司法人持股为准；</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分支机构名称字号中应包含总部字号；</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三</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开展一体化工作，实现品牌标识、人事管理、财务政策和分配制度、业务质量控制、信息化建设“五统一”；</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四</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通过合并、重组等形式进行集团化的，原所应在一年内办理注销或变更名称；</w:t>
      </w:r>
    </w:p>
    <w:p>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五</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中税协和地方税协规定的其他要求</w:t>
      </w:r>
      <w:r>
        <w:rPr>
          <w:rFonts w:hint="eastAsia" w:ascii="仿宋" w:hAnsi="仿宋" w:eastAsia="仿宋" w:cs="仿宋"/>
          <w:color w:val="333333"/>
          <w:sz w:val="32"/>
          <w:szCs w:val="32"/>
          <w:lang w:eastAsia="zh-CN"/>
        </w:rPr>
        <w:t>。</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第二十二条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我省只对AAA级集团化事务所及分支机构设立相应的业绩标准，进行认定和授牌。税务师事务所总部可以合并计算符合本办法第二十一条规定的各分支机构的经营业绩。</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我省不再对A级、AA级集团化税务师事务所总、分机构设立相应的业绩标准，总、分机构按各自单体业绩标准分别认定相应的等级。</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Style w:val="6"/>
          <w:rFonts w:hint="eastAsia" w:ascii="仿宋" w:hAnsi="仿宋" w:eastAsia="仿宋" w:cs="仿宋"/>
          <w:color w:val="333333"/>
          <w:sz w:val="32"/>
          <w:szCs w:val="32"/>
        </w:rPr>
      </w:pPr>
      <w:r>
        <w:rPr>
          <w:rStyle w:val="6"/>
          <w:rFonts w:hint="eastAsia" w:ascii="仿宋" w:hAnsi="仿宋" w:eastAsia="仿宋" w:cs="仿宋"/>
          <w:color w:val="333333"/>
          <w:sz w:val="32"/>
          <w:szCs w:val="32"/>
        </w:rPr>
        <w:t>第七章</w:t>
      </w:r>
      <w:r>
        <w:rPr>
          <w:rStyle w:val="7"/>
          <w:rFonts w:hint="eastAsia" w:ascii="仿宋" w:hAnsi="仿宋" w:eastAsia="仿宋" w:cs="仿宋"/>
          <w:b/>
          <w:bCs/>
          <w:color w:val="333333"/>
          <w:sz w:val="32"/>
          <w:szCs w:val="32"/>
          <w:lang w:val="en-US" w:eastAsia="zh-CN"/>
        </w:rPr>
        <w:t xml:space="preserve">  </w:t>
      </w:r>
      <w:r>
        <w:rPr>
          <w:rStyle w:val="6"/>
          <w:rFonts w:hint="eastAsia" w:ascii="仿宋" w:hAnsi="仿宋" w:eastAsia="仿宋" w:cs="仿宋"/>
          <w:color w:val="333333"/>
          <w:sz w:val="32"/>
          <w:szCs w:val="32"/>
        </w:rPr>
        <w:t>附则</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6"/>
          <w:rFonts w:hint="eastAsia" w:ascii="仿宋" w:hAnsi="仿宋" w:eastAsia="仿宋" w:cs="仿宋"/>
          <w:b w:val="0"/>
          <w:bCs w:val="0"/>
          <w:color w:val="333333"/>
          <w:sz w:val="32"/>
          <w:szCs w:val="32"/>
        </w:rPr>
      </w:pPr>
      <w:r>
        <w:rPr>
          <w:rStyle w:val="6"/>
          <w:rFonts w:hint="eastAsia" w:ascii="仿宋" w:hAnsi="仿宋" w:eastAsia="仿宋" w:cs="仿宋"/>
          <w:color w:val="333333"/>
          <w:sz w:val="32"/>
          <w:szCs w:val="32"/>
        </w:rPr>
        <w:t>第二十三条</w:t>
      </w:r>
      <w:r>
        <w:rPr>
          <w:rStyle w:val="6"/>
          <w:rFonts w:hint="eastAsia" w:ascii="仿宋" w:hAnsi="仿宋" w:eastAsia="仿宋" w:cs="仿宋"/>
          <w:color w:val="333333"/>
          <w:sz w:val="32"/>
          <w:szCs w:val="32"/>
          <w:lang w:val="en-US" w:eastAsia="zh-CN"/>
        </w:rPr>
        <w:t xml:space="preserve"> </w:t>
      </w:r>
      <w:r>
        <w:rPr>
          <w:rStyle w:val="6"/>
          <w:rFonts w:hint="eastAsia" w:ascii="仿宋" w:hAnsi="仿宋" w:eastAsia="仿宋" w:cs="仿宋"/>
          <w:b w:val="0"/>
          <w:bCs w:val="0"/>
          <w:color w:val="333333"/>
          <w:sz w:val="32"/>
          <w:szCs w:val="32"/>
        </w:rPr>
        <w:t>本办法所称“以下”均不含本数，所称“以上 ”均含本数。</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第二十四条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省税协办理等级认定工作不向税务师事务所收取</w:t>
      </w:r>
      <w:r>
        <w:rPr>
          <w:rFonts w:hint="eastAsia" w:ascii="仿宋" w:hAnsi="仿宋" w:eastAsia="仿宋" w:cs="仿宋"/>
          <w:color w:val="333333"/>
          <w:sz w:val="32"/>
          <w:szCs w:val="32"/>
          <w:lang w:val="en-US" w:eastAsia="zh-CN"/>
        </w:rPr>
        <w:t>任何</w:t>
      </w:r>
      <w:r>
        <w:rPr>
          <w:rFonts w:hint="eastAsia" w:ascii="仿宋" w:hAnsi="仿宋" w:eastAsia="仿宋" w:cs="仿宋"/>
          <w:color w:val="333333"/>
          <w:sz w:val="32"/>
          <w:szCs w:val="32"/>
        </w:rPr>
        <w:t>费用。</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第二十五条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本办法由省税协负责解释。</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 w:hAnsi="仿宋" w:eastAsia="仿宋" w:cs="仿宋"/>
          <w:color w:val="333333"/>
          <w:sz w:val="32"/>
          <w:szCs w:val="32"/>
        </w:rPr>
      </w:pPr>
      <w:r>
        <w:rPr>
          <w:rStyle w:val="6"/>
          <w:rFonts w:hint="eastAsia" w:ascii="仿宋" w:hAnsi="仿宋" w:eastAsia="仿宋" w:cs="仿宋"/>
          <w:color w:val="333333"/>
          <w:sz w:val="32"/>
          <w:szCs w:val="32"/>
        </w:rPr>
        <w:t>第二十六条</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本办法自2020年</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10</w:t>
      </w:r>
      <w:r>
        <w:rPr>
          <w:rFonts w:hint="eastAsia" w:ascii="仿宋" w:hAnsi="仿宋" w:eastAsia="仿宋" w:cs="仿宋"/>
          <w:color w:val="333333"/>
          <w:sz w:val="32"/>
          <w:szCs w:val="32"/>
        </w:rPr>
        <w:t>日起施行。</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sz w:val="32"/>
          <w:szCs w:val="32"/>
        </w:rPr>
      </w:pPr>
    </w:p>
    <w:p>
      <w:pPr>
        <w:keepNext w:val="0"/>
        <w:keepLines w:val="0"/>
        <w:pageBreakBefore w:val="0"/>
        <w:shd w:val="clear"/>
        <w:kinsoku/>
        <w:wordWrap/>
        <w:overflowPunct/>
        <w:topLinePunct w:val="0"/>
        <w:autoSpaceDE/>
        <w:autoSpaceDN/>
        <w:bidi w:val="0"/>
        <w:adjustRightInd/>
        <w:snapToGrid/>
        <w:spacing w:line="600" w:lineRule="exact"/>
        <w:textAlignment w:val="auto"/>
        <w:outlineLvl w:val="3"/>
        <w:rPr>
          <w:rFonts w:hint="eastAsia" w:ascii="仿宋" w:hAnsi="仿宋" w:eastAsia="仿宋" w:cs="仿宋"/>
          <w:sz w:val="32"/>
          <w:szCs w:val="32"/>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outlineLvl w:val="3"/>
        <w:rPr>
          <w:rFonts w:hint="eastAsia" w:ascii="仿宋" w:hAnsi="仿宋" w:eastAsia="仿宋" w:cs="仿宋"/>
          <w:bCs/>
          <w:sz w:val="32"/>
          <w:szCs w:val="32"/>
        </w:rPr>
      </w:pPr>
      <w:r>
        <w:rPr>
          <w:rFonts w:hint="eastAsia" w:ascii="仿宋" w:hAnsi="仿宋" w:eastAsia="仿宋" w:cs="仿宋"/>
          <w:sz w:val="32"/>
          <w:szCs w:val="32"/>
        </w:rPr>
        <w:t>附件1：河南省</w:t>
      </w:r>
      <w:r>
        <w:rPr>
          <w:rFonts w:hint="eastAsia" w:ascii="仿宋" w:hAnsi="仿宋" w:eastAsia="仿宋" w:cs="仿宋"/>
          <w:bCs/>
          <w:sz w:val="32"/>
          <w:szCs w:val="32"/>
        </w:rPr>
        <w:t>税务师事务所等级认定标准</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28"/>
          <w:szCs w:val="28"/>
        </w:rPr>
      </w:pPr>
      <w:r>
        <w:rPr>
          <w:rFonts w:hint="eastAsia" w:ascii="仿宋" w:hAnsi="仿宋" w:eastAsia="仿宋" w:cs="仿宋"/>
          <w:bCs/>
          <w:sz w:val="32"/>
          <w:szCs w:val="32"/>
        </w:rPr>
        <w:t>附件2：</w:t>
      </w:r>
      <w:r>
        <w:rPr>
          <w:rFonts w:hint="eastAsia" w:ascii="仿宋" w:hAnsi="仿宋" w:eastAsia="仿宋" w:cs="仿宋"/>
          <w:bCs/>
          <w:sz w:val="32"/>
          <w:szCs w:val="32"/>
          <w:lang w:val="en-US" w:eastAsia="zh-CN"/>
        </w:rPr>
        <w:t>河南省</w:t>
      </w:r>
      <w:r>
        <w:rPr>
          <w:rFonts w:hint="eastAsia" w:ascii="仿宋" w:hAnsi="仿宋" w:eastAsia="仿宋" w:cs="仿宋"/>
          <w:bCs/>
          <w:sz w:val="32"/>
          <w:szCs w:val="32"/>
        </w:rPr>
        <w:t>税务师事务所等级认定申请表</w:t>
      </w:r>
    </w:p>
    <w:p>
      <w:pPr>
        <w:shd w:val="clear"/>
        <w:outlineLvl w:val="3"/>
        <w:rPr>
          <w:rFonts w:hint="eastAsia" w:ascii="仿宋_GB2312" w:hAnsi="华文仿宋" w:eastAsia="仿宋_GB2312"/>
          <w:sz w:val="28"/>
          <w:szCs w:val="28"/>
        </w:rPr>
      </w:pPr>
    </w:p>
    <w:p>
      <w:pPr>
        <w:shd w:val="clear"/>
        <w:outlineLvl w:val="3"/>
        <w:rPr>
          <w:rFonts w:hint="eastAsia" w:ascii="仿宋_GB2312" w:hAnsi="华文仿宋" w:eastAsia="仿宋_GB2312"/>
          <w:sz w:val="28"/>
          <w:szCs w:val="28"/>
        </w:rPr>
      </w:pPr>
    </w:p>
    <w:p>
      <w:pPr>
        <w:shd w:val="clear"/>
        <w:outlineLvl w:val="3"/>
        <w:rPr>
          <w:rFonts w:hint="eastAsia" w:ascii="仿宋_GB2312" w:hAnsi="华文仿宋" w:eastAsia="仿宋_GB2312"/>
          <w:sz w:val="28"/>
          <w:szCs w:val="28"/>
        </w:rPr>
      </w:pPr>
    </w:p>
    <w:p>
      <w:pPr>
        <w:shd w:val="clear"/>
        <w:outlineLvl w:val="3"/>
        <w:rPr>
          <w:rFonts w:hint="eastAsia" w:ascii="仿宋_GB2312" w:hAnsi="华文仿宋" w:eastAsia="仿宋_GB2312"/>
          <w:sz w:val="28"/>
          <w:szCs w:val="28"/>
        </w:rPr>
      </w:pPr>
    </w:p>
    <w:p>
      <w:pPr>
        <w:shd w:val="clear"/>
        <w:outlineLvl w:val="3"/>
        <w:rPr>
          <w:rFonts w:ascii="仿宋_GB2312" w:hAnsi="华文仿宋" w:eastAsia="仿宋_GB2312"/>
          <w:sz w:val="28"/>
          <w:szCs w:val="28"/>
        </w:rPr>
      </w:pPr>
      <w:r>
        <w:rPr>
          <w:rFonts w:hint="eastAsia" w:ascii="仿宋_GB2312" w:hAnsi="华文仿宋" w:eastAsia="仿宋_GB2312"/>
          <w:sz w:val="28"/>
          <w:szCs w:val="28"/>
        </w:rPr>
        <w:t>附件1:</w:t>
      </w:r>
    </w:p>
    <w:p>
      <w:pPr>
        <w:shd w:val="clear"/>
        <w:ind w:left="210" w:leftChars="100" w:firstLine="1285" w:firstLineChars="400"/>
        <w:outlineLvl w:val="3"/>
        <w:rPr>
          <w:rFonts w:ascii="仿宋_GB2312" w:hAnsi="华文仿宋" w:eastAsia="仿宋_GB2312"/>
          <w:sz w:val="28"/>
          <w:szCs w:val="28"/>
        </w:rPr>
      </w:pPr>
      <w:r>
        <w:rPr>
          <w:rFonts w:hint="eastAsia" w:ascii="仿宋_GB2312" w:hAnsi="宋体" w:eastAsia="仿宋_GB2312"/>
          <w:b/>
          <w:sz w:val="32"/>
          <w:szCs w:val="32"/>
        </w:rPr>
        <w:t>河南省税务师事务所等级认定标准</w:t>
      </w:r>
    </w:p>
    <w:p>
      <w:pPr>
        <w:shd w:val="clear"/>
        <w:jc w:val="left"/>
        <w:outlineLvl w:val="3"/>
        <w:rPr>
          <w:rFonts w:ascii="仿宋_GB2312" w:hAnsi="宋体" w:eastAsia="仿宋_GB2312"/>
          <w:b/>
          <w:sz w:val="24"/>
          <w:szCs w:val="24"/>
        </w:rPr>
      </w:pPr>
      <w:r>
        <w:rPr>
          <w:rFonts w:hint="eastAsia" w:ascii="仿宋_GB2312" w:hAnsi="宋体" w:eastAsia="仿宋_GB2312"/>
          <w:b/>
          <w:sz w:val="24"/>
          <w:szCs w:val="24"/>
        </w:rPr>
        <w:t>单位名称：</w:t>
      </w:r>
    </w:p>
    <w:tbl>
      <w:tblPr>
        <w:tblStyle w:val="4"/>
        <w:tblpPr w:leftFromText="180" w:rightFromText="180" w:vertAnchor="text" w:tblpXSpec="center" w:tblpY="147"/>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3045"/>
        <w:gridCol w:w="123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89" w:type="dxa"/>
            <w:gridSpan w:val="2"/>
            <w:vAlign w:val="center"/>
          </w:tcPr>
          <w:p>
            <w:pPr>
              <w:shd w:val="clear"/>
              <w:jc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考评内容</w:t>
            </w:r>
          </w:p>
        </w:tc>
        <w:tc>
          <w:tcPr>
            <w:tcW w:w="1232" w:type="dxa"/>
            <w:vAlign w:val="center"/>
          </w:tcPr>
          <w:p>
            <w:pPr>
              <w:shd w:val="clear"/>
              <w:jc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基础分值</w:t>
            </w:r>
          </w:p>
        </w:tc>
        <w:tc>
          <w:tcPr>
            <w:tcW w:w="1116" w:type="dxa"/>
            <w:vAlign w:val="center"/>
          </w:tcPr>
          <w:p>
            <w:pPr>
              <w:shd w:val="clear"/>
              <w:jc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b/>
                <w:bCs/>
                <w:color w:val="000000"/>
                <w:sz w:val="24"/>
                <w:szCs w:val="24"/>
              </w:rPr>
              <w:t>一、执业资质</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b/>
                <w:bCs/>
                <w:color w:val="000000"/>
                <w:sz w:val="24"/>
                <w:szCs w:val="24"/>
              </w:rPr>
              <w:t>10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1.税务师事务所及分支机构依法成立并完成行政登记，没有以各种形式挂靠的分支机构。</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2.所内（注册）税务师职业资质符合政策法规要求，其他应有职业资质要求的人员符合相关规定。</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3.没有其它违反国家法律法规和政策规定的执业资质方面的问题。</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6"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b/>
                <w:bCs/>
                <w:color w:val="000000"/>
                <w:sz w:val="24"/>
                <w:szCs w:val="24"/>
              </w:rPr>
              <w:t>二、经营规模及业绩</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A级税务师事务所经营规模及业绩标准：</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1、税务师至少5人；</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2、最低年业务收入100万</w:t>
            </w:r>
            <w:r>
              <w:rPr>
                <w:rFonts w:hint="eastAsia" w:ascii="仿宋_GB2312" w:hAnsi="宋体" w:eastAsia="仿宋_GB2312"/>
                <w:color w:val="000000"/>
                <w:sz w:val="24"/>
                <w:szCs w:val="24"/>
                <w:lang w:val="en-US" w:eastAsia="zh-CN"/>
              </w:rPr>
              <w:t>元</w:t>
            </w:r>
            <w:r>
              <w:rPr>
                <w:rFonts w:hint="eastAsia" w:ascii="仿宋_GB2312" w:hAnsi="宋体" w:eastAsia="仿宋_GB2312"/>
                <w:color w:val="000000"/>
                <w:sz w:val="24"/>
                <w:szCs w:val="24"/>
              </w:rPr>
              <w:t>。</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AA级税务师事务所经营规模及业绩标准：</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1、税务师至少8人；</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2、最低年业务收入500万</w:t>
            </w:r>
            <w:r>
              <w:rPr>
                <w:rFonts w:hint="eastAsia" w:ascii="仿宋_GB2312" w:hAnsi="宋体" w:eastAsia="仿宋_GB2312"/>
                <w:color w:val="000000"/>
                <w:sz w:val="24"/>
                <w:szCs w:val="24"/>
                <w:lang w:val="en-US" w:eastAsia="zh-CN"/>
              </w:rPr>
              <w:t>元</w:t>
            </w:r>
            <w:r>
              <w:rPr>
                <w:rFonts w:hint="eastAsia" w:ascii="仿宋_GB2312" w:hAnsi="宋体" w:eastAsia="仿宋_GB2312"/>
                <w:color w:val="000000"/>
                <w:sz w:val="24"/>
                <w:szCs w:val="24"/>
              </w:rPr>
              <w:t>。</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AAA级税务师事务所经营规模及业绩标准：</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1、税务师至少10人；</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2、最低年业务收入1000万</w:t>
            </w:r>
            <w:r>
              <w:rPr>
                <w:rFonts w:hint="eastAsia" w:ascii="仿宋_GB2312" w:hAnsi="宋体" w:eastAsia="仿宋_GB2312"/>
                <w:color w:val="000000"/>
                <w:sz w:val="24"/>
                <w:szCs w:val="24"/>
                <w:lang w:val="en-US" w:eastAsia="zh-CN"/>
              </w:rPr>
              <w:t>元</w:t>
            </w:r>
            <w:r>
              <w:rPr>
                <w:rFonts w:hint="eastAsia" w:ascii="仿宋_GB2312" w:hAnsi="宋体" w:eastAsia="仿宋_GB2312"/>
                <w:color w:val="000000"/>
                <w:sz w:val="24"/>
                <w:szCs w:val="24"/>
              </w:rPr>
              <w:t>。</w:t>
            </w:r>
          </w:p>
          <w:p>
            <w:pPr>
              <w:shd w:val="clear"/>
              <w:jc w:val="left"/>
              <w:rPr>
                <w:rFonts w:ascii="仿宋_GB2312" w:hAnsi="宋体" w:eastAsia="仿宋_GB2312"/>
                <w:sz w:val="24"/>
                <w:szCs w:val="24"/>
              </w:rPr>
            </w:pPr>
            <w:r>
              <w:rPr>
                <w:rFonts w:hint="eastAsia" w:ascii="仿宋_GB2312" w:hAnsi="宋体" w:eastAsia="仿宋_GB2312"/>
                <w:sz w:val="24"/>
                <w:szCs w:val="24"/>
              </w:rPr>
              <w:t>集团化AAA级事务所最低业务收入1200万元，总部最低业务收入800万元，授牌分支机构最低业务收入350万元。</w:t>
            </w:r>
          </w:p>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事务所年度利润总额或纳税调整后所得大于零。</w:t>
            </w:r>
          </w:p>
          <w:p>
            <w:pPr>
              <w:shd w:val="clear"/>
              <w:jc w:val="left"/>
              <w:rPr>
                <w:rFonts w:ascii="仿宋_GB2312" w:hAnsi="宋体" w:eastAsia="仿宋_GB2312"/>
                <w:color w:val="000000"/>
                <w:sz w:val="24"/>
                <w:szCs w:val="24"/>
              </w:rPr>
            </w:pPr>
          </w:p>
          <w:p>
            <w:pPr>
              <w:shd w:val="clear"/>
              <w:rPr>
                <w:rFonts w:ascii="仿宋_GB2312" w:hAnsi="宋体" w:eastAsia="仿宋_GB2312"/>
                <w:color w:val="000000"/>
                <w:sz w:val="24"/>
                <w:szCs w:val="24"/>
              </w:rPr>
            </w:pPr>
            <w:r>
              <w:rPr>
                <w:rFonts w:hint="eastAsia" w:ascii="仿宋_GB2312" w:hAnsi="宋体" w:eastAsia="仿宋_GB2312"/>
                <w:color w:val="000000"/>
                <w:sz w:val="24"/>
                <w:szCs w:val="24"/>
              </w:rPr>
              <w:t>有一项不符合规定本大项不得分，并一票否决。</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b/>
                <w:bCs/>
                <w:color w:val="000000"/>
                <w:sz w:val="24"/>
                <w:szCs w:val="24"/>
              </w:rPr>
              <w:t>10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089" w:type="dxa"/>
            <w:gridSpan w:val="2"/>
            <w:vAlign w:val="center"/>
          </w:tcPr>
          <w:p>
            <w:pPr>
              <w:shd w:val="clear"/>
              <w:rPr>
                <w:rFonts w:ascii="仿宋_GB2312" w:hAnsi="宋体" w:eastAsia="仿宋_GB2312"/>
                <w:b/>
                <w:bCs/>
                <w:color w:val="000000"/>
                <w:sz w:val="24"/>
                <w:szCs w:val="24"/>
              </w:rPr>
            </w:pPr>
            <w:r>
              <w:rPr>
                <w:rFonts w:hint="eastAsia" w:ascii="仿宋_GB2312" w:hAnsi="宋体" w:eastAsia="仿宋_GB2312"/>
                <w:b/>
                <w:bCs/>
                <w:color w:val="000000"/>
                <w:sz w:val="24"/>
                <w:szCs w:val="24"/>
              </w:rPr>
              <w:t>三、执业规范和社会诚信</w:t>
            </w:r>
          </w:p>
          <w:p>
            <w:pPr>
              <w:shd w:val="clear"/>
              <w:rPr>
                <w:rFonts w:ascii="仿宋_GB2312" w:hAnsi="宋体" w:eastAsia="仿宋_GB2312"/>
                <w:color w:val="000000"/>
                <w:sz w:val="24"/>
                <w:szCs w:val="24"/>
              </w:rPr>
            </w:pPr>
            <w:r>
              <w:rPr>
                <w:rFonts w:hint="eastAsia" w:ascii="仿宋_GB2312" w:hAnsi="宋体" w:eastAsia="仿宋_GB2312"/>
                <w:b/>
                <w:bCs/>
                <w:color w:val="000000"/>
                <w:sz w:val="24"/>
                <w:szCs w:val="24"/>
              </w:rPr>
              <w:t>(抽查相关的业务档案进行下列重点审核)</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b/>
                <w:bCs/>
                <w:color w:val="000000"/>
                <w:sz w:val="24"/>
                <w:szCs w:val="24"/>
              </w:rPr>
              <w:t>40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1.开展的各类业务均有相应的业务工作程序且程序完整，审查目标明确、步骤恰当、要点突出，可操作性强。</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2.签订的业务委托协议书内容详细具体规范。</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3.编制的工作底稿符合规定的格式和要求，资料真实，记录清晰、内容连贯、勾稽关系严谨、审核过程清楚且经过三级复核。</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4.前三年没有发生违法、违规执业的行为，或没有因执业质量受到税务机关处罚、行业惩戒、通报批评的。</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1116" w:type="dxa"/>
            <w:vAlign w:val="center"/>
          </w:tcPr>
          <w:p>
            <w:pPr>
              <w:shd w:val="clea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b/>
                <w:bCs/>
                <w:color w:val="000000"/>
                <w:sz w:val="24"/>
                <w:szCs w:val="24"/>
              </w:rPr>
              <w:t>四、内部管理</w:t>
            </w:r>
          </w:p>
        </w:tc>
        <w:tc>
          <w:tcPr>
            <w:tcW w:w="1232" w:type="dxa"/>
          </w:tcPr>
          <w:p>
            <w:pPr>
              <w:shd w:val="clear"/>
              <w:jc w:val="center"/>
              <w:rPr>
                <w:rFonts w:ascii="仿宋_GB2312" w:hAnsi="宋体" w:eastAsia="仿宋_GB2312"/>
                <w:color w:val="000000"/>
                <w:sz w:val="24"/>
                <w:szCs w:val="24"/>
              </w:rPr>
            </w:pPr>
          </w:p>
          <w:p>
            <w:pPr>
              <w:shd w:val="clear"/>
              <w:jc w:val="center"/>
              <w:rPr>
                <w:rFonts w:ascii="仿宋_GB2312" w:hAnsi="宋体" w:eastAsia="仿宋_GB2312"/>
                <w:color w:val="000000"/>
                <w:sz w:val="24"/>
                <w:szCs w:val="24"/>
              </w:rPr>
            </w:pPr>
            <w:r>
              <w:rPr>
                <w:rFonts w:hint="eastAsia" w:ascii="仿宋_GB2312" w:hAnsi="宋体" w:eastAsia="仿宋_GB2312"/>
                <w:b/>
                <w:bCs/>
                <w:color w:val="000000"/>
                <w:sz w:val="24"/>
                <w:szCs w:val="24"/>
              </w:rPr>
              <w:t>30</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color w:val="000000"/>
                <w:sz w:val="24"/>
                <w:szCs w:val="24"/>
              </w:rPr>
              <w:t>1.人力资源管理制度健全，与所内员工签订劳动合同，购买相关保险，有合理的奖惩制度。</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color w:val="000000"/>
                <w:sz w:val="24"/>
                <w:szCs w:val="24"/>
              </w:rPr>
              <w:t>2.财务管理制度健全，会计核算真实、准确。</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color w:val="000000"/>
                <w:sz w:val="24"/>
                <w:szCs w:val="24"/>
              </w:rPr>
              <w:t>3.风险控制制度健全，达到三级审核，按规定足额提取风险基金。</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color w:val="000000"/>
                <w:sz w:val="24"/>
                <w:szCs w:val="24"/>
              </w:rPr>
              <w:t>4.业务培训制度健全，按要求参加中税协和地方税协组织的培训，所内对员工的培训有计划有安排，培训课时数符合相关规定。</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color w:val="000000"/>
                <w:sz w:val="24"/>
                <w:szCs w:val="24"/>
              </w:rPr>
              <w:t>5.档案管理制度健全，档案管理规范，有专人保管。</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6089" w:type="dxa"/>
            <w:gridSpan w:val="2"/>
            <w:vAlign w:val="center"/>
          </w:tcPr>
          <w:p>
            <w:pPr>
              <w:shd w:val="clear"/>
              <w:jc w:val="left"/>
              <w:rPr>
                <w:rFonts w:ascii="仿宋_GB2312" w:hAnsi="宋体" w:eastAsia="仿宋_GB2312"/>
                <w:b/>
                <w:bCs/>
                <w:color w:val="000000"/>
                <w:sz w:val="24"/>
                <w:szCs w:val="24"/>
              </w:rPr>
            </w:pPr>
            <w:r>
              <w:rPr>
                <w:rFonts w:hint="eastAsia" w:ascii="仿宋_GB2312" w:hAnsi="宋体" w:eastAsia="仿宋_GB2312"/>
                <w:color w:val="000000"/>
                <w:sz w:val="24"/>
                <w:szCs w:val="24"/>
              </w:rPr>
              <w:t>6.没有隐匿、转移业务收入、虚报亏损，不按时足额缴纳税款的问题。</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9</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7.没有不履行会员义务，不及时足额缴纳会费的现象,上年度年检合格。</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11</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b/>
                <w:bCs/>
                <w:color w:val="000000"/>
                <w:sz w:val="24"/>
                <w:szCs w:val="24"/>
              </w:rPr>
              <w:t>五、党建统战工作</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b/>
                <w:bCs/>
                <w:color w:val="000000"/>
                <w:sz w:val="24"/>
                <w:szCs w:val="24"/>
              </w:rPr>
              <w:t>10</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1.建立党支部，配备党务工作者。</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2.开展“有场所、有设施、有标志、有党旗、有书报、有制度”的标准化建设工作。</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3.党支部发挥政治核心作用，党员发挥模范带头作用。</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4.积极开展统战工作和社会公益活动。</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6089" w:type="dxa"/>
            <w:gridSpan w:val="2"/>
            <w:vAlign w:val="center"/>
          </w:tcPr>
          <w:p>
            <w:pPr>
              <w:shd w:val="clear"/>
              <w:jc w:val="left"/>
              <w:rPr>
                <w:rFonts w:ascii="仿宋_GB2312" w:hAnsi="宋体" w:eastAsia="仿宋_GB2312"/>
                <w:color w:val="000000"/>
                <w:sz w:val="24"/>
                <w:szCs w:val="24"/>
              </w:rPr>
            </w:pPr>
            <w:r>
              <w:rPr>
                <w:rFonts w:hint="eastAsia" w:ascii="仿宋_GB2312" w:hAnsi="宋体" w:eastAsia="仿宋_GB2312"/>
                <w:color w:val="000000"/>
                <w:sz w:val="24"/>
                <w:szCs w:val="24"/>
              </w:rPr>
              <w:t>5.加入同心服务团，积极开展相关活动。</w:t>
            </w:r>
          </w:p>
        </w:tc>
        <w:tc>
          <w:tcPr>
            <w:tcW w:w="1232" w:type="dxa"/>
            <w:vAlign w:val="center"/>
          </w:tcPr>
          <w:p>
            <w:pPr>
              <w:shd w:val="clear"/>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116" w:type="dxa"/>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437" w:type="dxa"/>
            <w:gridSpan w:val="4"/>
            <w:vAlign w:val="center"/>
          </w:tcPr>
          <w:p>
            <w:pPr>
              <w:shd w:val="clear"/>
              <w:rPr>
                <w:rFonts w:ascii="仿宋_GB2312" w:hAnsi="宋体" w:eastAsia="仿宋_GB2312"/>
                <w:color w:val="000000"/>
                <w:sz w:val="24"/>
                <w:szCs w:val="24"/>
              </w:rPr>
            </w:pPr>
            <w:r>
              <w:rPr>
                <w:rFonts w:hint="eastAsia" w:ascii="仿宋_GB2312" w:hAnsi="宋体" w:eastAsia="仿宋_GB2312"/>
                <w:b/>
                <w:bCs/>
                <w:color w:val="000000"/>
                <w:sz w:val="24"/>
                <w:szCs w:val="24"/>
              </w:rPr>
              <w:t>注：除第二大项经营规模及业绩、第四大项6、7项不符合规定直接扣除相应分值外，其他项视情节轻重按0.5的整倍数在标准分值内酌情扣分。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3044" w:type="dxa"/>
            <w:vAlign w:val="center"/>
          </w:tcPr>
          <w:p>
            <w:pPr>
              <w:shd w:val="clear"/>
              <w:jc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总分</w:t>
            </w:r>
          </w:p>
        </w:tc>
        <w:tc>
          <w:tcPr>
            <w:tcW w:w="5393" w:type="dxa"/>
            <w:gridSpan w:val="3"/>
            <w:vAlign w:val="center"/>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3044" w:type="dxa"/>
            <w:vAlign w:val="center"/>
          </w:tcPr>
          <w:p>
            <w:pPr>
              <w:shd w:val="clear"/>
              <w:jc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审核意见</w:t>
            </w:r>
          </w:p>
        </w:tc>
        <w:tc>
          <w:tcPr>
            <w:tcW w:w="5393" w:type="dxa"/>
            <w:gridSpan w:val="3"/>
            <w:vAlign w:val="center"/>
          </w:tcPr>
          <w:p>
            <w:pPr>
              <w:shd w:val="clea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3044" w:type="dxa"/>
            <w:vAlign w:val="center"/>
          </w:tcPr>
          <w:p>
            <w:pPr>
              <w:shd w:val="clear"/>
              <w:jc w:val="center"/>
              <w:rPr>
                <w:rFonts w:ascii="仿宋_GB2312" w:hAnsi="宋体" w:eastAsia="仿宋_GB2312"/>
                <w:b/>
                <w:bCs/>
                <w:color w:val="000000"/>
                <w:sz w:val="24"/>
                <w:szCs w:val="24"/>
              </w:rPr>
            </w:pPr>
            <w:r>
              <w:rPr>
                <w:rFonts w:hint="eastAsia" w:ascii="仿宋_GB2312" w:hAnsi="宋体" w:eastAsia="仿宋_GB2312"/>
                <w:b/>
                <w:bCs/>
                <w:color w:val="000000"/>
                <w:sz w:val="24"/>
                <w:szCs w:val="24"/>
              </w:rPr>
              <w:t>审核人员签字</w:t>
            </w:r>
          </w:p>
        </w:tc>
        <w:tc>
          <w:tcPr>
            <w:tcW w:w="5393" w:type="dxa"/>
            <w:gridSpan w:val="3"/>
            <w:vAlign w:val="center"/>
          </w:tcPr>
          <w:p>
            <w:pPr>
              <w:shd w:val="clear"/>
              <w:rPr>
                <w:rFonts w:ascii="仿宋_GB2312" w:hAnsi="宋体" w:eastAsia="仿宋_GB2312"/>
                <w:color w:val="000000"/>
                <w:sz w:val="24"/>
                <w:szCs w:val="24"/>
              </w:rPr>
            </w:pPr>
          </w:p>
        </w:tc>
      </w:tr>
    </w:tbl>
    <w:p>
      <w:pPr>
        <w:shd w:val="clear"/>
        <w:jc w:val="left"/>
        <w:rPr>
          <w:rFonts w:hint="eastAsia" w:ascii="仿宋_GB2312" w:eastAsia="仿宋_GB2312"/>
          <w:sz w:val="28"/>
          <w:szCs w:val="28"/>
        </w:rPr>
      </w:pPr>
    </w:p>
    <w:p>
      <w:pPr>
        <w:shd w:val="clear"/>
        <w:jc w:val="left"/>
        <w:rPr>
          <w:rFonts w:ascii="仿宋_GB2312" w:eastAsia="仿宋_GB2312"/>
          <w:sz w:val="28"/>
          <w:szCs w:val="28"/>
        </w:rPr>
      </w:pPr>
      <w:r>
        <w:rPr>
          <w:rFonts w:hint="eastAsia" w:ascii="仿宋_GB2312" w:eastAsia="仿宋_GB2312"/>
          <w:sz w:val="28"/>
          <w:szCs w:val="28"/>
        </w:rPr>
        <w:t>附件2：</w:t>
      </w:r>
    </w:p>
    <w:p>
      <w:pPr>
        <w:shd w:val="clear"/>
        <w:jc w:val="center"/>
        <w:rPr>
          <w:rFonts w:ascii="仿宋_GB2312" w:eastAsia="仿宋_GB2312"/>
          <w:b/>
          <w:sz w:val="32"/>
          <w:szCs w:val="32"/>
        </w:rPr>
      </w:pPr>
      <w:r>
        <w:rPr>
          <w:rFonts w:hint="eastAsia" w:ascii="仿宋_GB2312" w:eastAsia="仿宋_GB2312"/>
          <w:b/>
          <w:sz w:val="32"/>
          <w:szCs w:val="32"/>
          <w:lang w:val="en-US" w:eastAsia="zh-CN"/>
        </w:rPr>
        <w:t>河南省</w:t>
      </w:r>
      <w:r>
        <w:rPr>
          <w:rFonts w:hint="eastAsia" w:ascii="仿宋_GB2312" w:eastAsia="仿宋_GB2312"/>
          <w:b/>
          <w:sz w:val="32"/>
          <w:szCs w:val="32"/>
        </w:rPr>
        <w:t>税务师事务所等级认定申请表</w:t>
      </w:r>
    </w:p>
    <w:p>
      <w:pPr>
        <w:shd w:val="clear"/>
        <w:jc w:val="center"/>
        <w:rPr>
          <w:b/>
          <w:sz w:val="24"/>
          <w:szCs w:val="24"/>
        </w:rPr>
      </w:pPr>
    </w:p>
    <w:tbl>
      <w:tblPr>
        <w:tblStyle w:val="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116"/>
        <w:gridCol w:w="1116"/>
        <w:gridCol w:w="132"/>
        <w:gridCol w:w="972"/>
        <w:gridCol w:w="876"/>
        <w:gridCol w:w="156"/>
        <w:gridCol w:w="300"/>
        <w:gridCol w:w="94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79" w:type="dxa"/>
            <w:gridSpan w:val="10"/>
            <w:tcBorders>
              <w:tl2br w:val="nil"/>
              <w:tr2bl w:val="nil"/>
            </w:tcBorders>
            <w:shd w:val="clear" w:color="auto" w:fill="auto"/>
            <w:vAlign w:val="center"/>
          </w:tcPr>
          <w:p>
            <w:pPr>
              <w:widowControl/>
              <w:shd w:val="clear"/>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事务所名称</w:t>
            </w:r>
          </w:p>
        </w:tc>
        <w:tc>
          <w:tcPr>
            <w:tcW w:w="6603" w:type="dxa"/>
            <w:gridSpan w:val="9"/>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法人姓名</w:t>
            </w:r>
          </w:p>
        </w:tc>
        <w:tc>
          <w:tcPr>
            <w:tcW w:w="2364"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04"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团体会员注册号</w:t>
            </w:r>
          </w:p>
        </w:tc>
        <w:tc>
          <w:tcPr>
            <w:tcW w:w="2235"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注册资本（万元）</w:t>
            </w:r>
          </w:p>
        </w:tc>
        <w:tc>
          <w:tcPr>
            <w:tcW w:w="2364"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p>
        </w:tc>
        <w:tc>
          <w:tcPr>
            <w:tcW w:w="2004"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成立时间</w:t>
            </w:r>
          </w:p>
        </w:tc>
        <w:tc>
          <w:tcPr>
            <w:tcW w:w="2235"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年检情况</w:t>
            </w:r>
          </w:p>
        </w:tc>
        <w:tc>
          <w:tcPr>
            <w:tcW w:w="2364"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004"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何年何月被认定为何等级</w:t>
            </w:r>
          </w:p>
        </w:tc>
        <w:tc>
          <w:tcPr>
            <w:tcW w:w="2235"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地址</w:t>
            </w:r>
          </w:p>
        </w:tc>
        <w:tc>
          <w:tcPr>
            <w:tcW w:w="6603" w:type="dxa"/>
            <w:gridSpan w:val="9"/>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组织结构</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(勾选)</w:t>
            </w:r>
          </w:p>
        </w:tc>
        <w:tc>
          <w:tcPr>
            <w:tcW w:w="2364"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□单所     </w:t>
            </w: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□母子</w:t>
            </w: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□总分</w:t>
            </w:r>
          </w:p>
        </w:tc>
        <w:tc>
          <w:tcPr>
            <w:tcW w:w="1848"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从属关系</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（勾选）</w:t>
            </w:r>
          </w:p>
        </w:tc>
        <w:tc>
          <w:tcPr>
            <w:tcW w:w="2391" w:type="dxa"/>
            <w:gridSpan w:val="4"/>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总部</w:t>
            </w: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□子公司</w:t>
            </w: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上年度经营收入</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（万元）</w:t>
            </w:r>
          </w:p>
        </w:tc>
        <w:tc>
          <w:tcPr>
            <w:tcW w:w="2364"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税务师人数</w:t>
            </w:r>
          </w:p>
        </w:tc>
        <w:tc>
          <w:tcPr>
            <w:tcW w:w="2391" w:type="dxa"/>
            <w:gridSpan w:val="4"/>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其他从业人员人数</w:t>
            </w:r>
          </w:p>
        </w:tc>
        <w:tc>
          <w:tcPr>
            <w:tcW w:w="2364" w:type="dxa"/>
            <w:gridSpan w:val="3"/>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p>
        </w:tc>
        <w:tc>
          <w:tcPr>
            <w:tcW w:w="1848"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申报等级</w:t>
            </w:r>
          </w:p>
        </w:tc>
        <w:tc>
          <w:tcPr>
            <w:tcW w:w="2391" w:type="dxa"/>
            <w:gridSpan w:val="4"/>
            <w:tcBorders>
              <w:tl2br w:val="nil"/>
              <w:tr2bl w:val="nil"/>
            </w:tcBorders>
            <w:shd w:val="clear" w:color="auto" w:fill="auto"/>
            <w:vAlign w:val="center"/>
          </w:tcPr>
          <w:p>
            <w:pPr>
              <w:widowControl/>
              <w:shd w:val="clear"/>
              <w:jc w:val="left"/>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779" w:type="dxa"/>
            <w:gridSpan w:val="10"/>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    名</w:t>
            </w:r>
          </w:p>
        </w:tc>
        <w:tc>
          <w:tcPr>
            <w:tcW w:w="2364" w:type="dxa"/>
            <w:gridSpan w:val="3"/>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1848"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   务</w:t>
            </w:r>
          </w:p>
        </w:tc>
        <w:tc>
          <w:tcPr>
            <w:tcW w:w="2391" w:type="dxa"/>
            <w:gridSpan w:val="4"/>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7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办公电话号码</w:t>
            </w:r>
          </w:p>
        </w:tc>
        <w:tc>
          <w:tcPr>
            <w:tcW w:w="2364" w:type="dxa"/>
            <w:gridSpan w:val="3"/>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1848"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手机号码</w:t>
            </w:r>
          </w:p>
        </w:tc>
        <w:tc>
          <w:tcPr>
            <w:tcW w:w="2391" w:type="dxa"/>
            <w:gridSpan w:val="4"/>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779" w:type="dxa"/>
            <w:gridSpan w:val="10"/>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下设分支机构情况（含子公司、分公司，如无可不填）：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92"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名称</w:t>
            </w:r>
          </w:p>
        </w:tc>
        <w:tc>
          <w:tcPr>
            <w:tcW w:w="111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地区</w:t>
            </w:r>
          </w:p>
        </w:tc>
        <w:tc>
          <w:tcPr>
            <w:tcW w:w="1104"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从属</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关系</w:t>
            </w:r>
          </w:p>
        </w:tc>
        <w:tc>
          <w:tcPr>
            <w:tcW w:w="1332"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团体会</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员号</w:t>
            </w:r>
          </w:p>
        </w:tc>
        <w:tc>
          <w:tcPr>
            <w:tcW w:w="948"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上年度收入</w:t>
            </w:r>
          </w:p>
        </w:tc>
        <w:tc>
          <w:tcPr>
            <w:tcW w:w="987"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税务师人数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92"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111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1104" w:type="dxa"/>
            <w:gridSpan w:val="2"/>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1332"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948" w:type="dxa"/>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987" w:type="dxa"/>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92"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111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1104" w:type="dxa"/>
            <w:gridSpan w:val="2"/>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1332"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948" w:type="dxa"/>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987" w:type="dxa"/>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92" w:type="dxa"/>
            <w:gridSpan w:val="2"/>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可续填</w:t>
            </w:r>
          </w:p>
        </w:tc>
        <w:tc>
          <w:tcPr>
            <w:tcW w:w="1116" w:type="dxa"/>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1104" w:type="dxa"/>
            <w:gridSpan w:val="2"/>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1332" w:type="dxa"/>
            <w:gridSpan w:val="3"/>
            <w:tcBorders>
              <w:tl2br w:val="nil"/>
              <w:tr2bl w:val="nil"/>
            </w:tcBorders>
            <w:shd w:val="clear" w:color="auto" w:fill="auto"/>
            <w:vAlign w:val="center"/>
          </w:tcPr>
          <w:p>
            <w:pPr>
              <w:widowControl/>
              <w:shd w:val="clear"/>
              <w:jc w:val="center"/>
              <w:rPr>
                <w:rFonts w:ascii="仿宋_GB2312" w:hAnsi="宋体" w:eastAsia="仿宋_GB2312" w:cs="宋体"/>
                <w:color w:val="000000"/>
                <w:kern w:val="0"/>
                <w:sz w:val="24"/>
                <w:szCs w:val="24"/>
              </w:rPr>
            </w:pPr>
          </w:p>
        </w:tc>
        <w:tc>
          <w:tcPr>
            <w:tcW w:w="948" w:type="dxa"/>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c>
          <w:tcPr>
            <w:tcW w:w="987" w:type="dxa"/>
            <w:tcBorders>
              <w:tl2br w:val="nil"/>
              <w:tr2bl w:val="nil"/>
            </w:tcBorders>
            <w:shd w:val="clear" w:color="auto" w:fill="auto"/>
            <w:vAlign w:val="center"/>
          </w:tcPr>
          <w:p>
            <w:pPr>
              <w:widowControl/>
              <w:shd w:val="clear"/>
              <w:rPr>
                <w:rFonts w:ascii="仿宋_GB2312" w:hAnsi="宋体" w:eastAsia="仿宋_GB2312" w:cs="宋体"/>
                <w:color w:val="000000"/>
                <w:kern w:val="0"/>
                <w:sz w:val="24"/>
                <w:szCs w:val="24"/>
              </w:rPr>
            </w:pPr>
          </w:p>
        </w:tc>
      </w:tr>
    </w:tbl>
    <w:p>
      <w:pPr>
        <w:shd w:val="clear"/>
        <w:sectPr>
          <w:footerReference r:id="rId3" w:type="default"/>
          <w:pgSz w:w="11906" w:h="16838"/>
          <w:pgMar w:top="1440" w:right="1800" w:bottom="1440" w:left="1800" w:header="851" w:footer="992" w:gutter="0"/>
          <w:cols w:space="425" w:num="1"/>
          <w:docGrid w:type="lines" w:linePitch="312" w:charSpace="0"/>
        </w:sectPr>
      </w:pP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6" w:hRule="atLeast"/>
          <w:jc w:val="center"/>
        </w:trPr>
        <w:tc>
          <w:tcPr>
            <w:tcW w:w="2173" w:type="dxa"/>
            <w:shd w:val="clear" w:color="auto" w:fill="auto"/>
            <w:vAlign w:val="center"/>
          </w:tcPr>
          <w:p>
            <w:pPr>
              <w:widowControl/>
              <w:shd w:val="clear"/>
              <w:ind w:firstLine="240" w:firstLineChars="1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主要客户名称</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及申请理由</w:t>
            </w:r>
          </w:p>
        </w:tc>
        <w:tc>
          <w:tcPr>
            <w:tcW w:w="6600" w:type="dxa"/>
            <w:shd w:val="clear" w:color="auto" w:fill="auto"/>
            <w:vAlign w:val="center"/>
          </w:tcPr>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t>主要客户名称：</w:t>
            </w: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申请理由：</w:t>
            </w: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（可附页续填）</w:t>
            </w: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ind w:left="4305" w:leftChars="2050" w:firstLine="240" w:firstLineChars="1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（公章）</w:t>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t xml:space="preserve">                                                       年   月   日</w:t>
            </w:r>
          </w:p>
          <w:p>
            <w:pPr>
              <w:widowControl/>
              <w:shd w:val="clear"/>
              <w:jc w:val="left"/>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2173" w:type="dxa"/>
            <w:shd w:val="clear" w:color="auto" w:fill="auto"/>
            <w:vAlign w:val="center"/>
          </w:tcPr>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省税协</w:t>
            </w:r>
          </w:p>
          <w:p>
            <w:pPr>
              <w:widowControl/>
              <w:shd w:val="clea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t>审查意见</w:t>
            </w:r>
          </w:p>
        </w:tc>
        <w:tc>
          <w:tcPr>
            <w:tcW w:w="6600" w:type="dxa"/>
            <w:shd w:val="clear" w:color="auto" w:fill="auto"/>
            <w:vAlign w:val="center"/>
          </w:tcPr>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jc w:val="left"/>
              <w:rPr>
                <w:rFonts w:ascii="仿宋_GB2312" w:hAnsi="宋体" w:eastAsia="仿宋_GB2312" w:cs="宋体"/>
                <w:color w:val="000000"/>
                <w:kern w:val="0"/>
                <w:sz w:val="24"/>
                <w:szCs w:val="24"/>
              </w:rPr>
            </w:pPr>
          </w:p>
          <w:p>
            <w:pPr>
              <w:widowControl/>
              <w:shd w:val="clear"/>
              <w:ind w:firstLine="4800" w:firstLineChars="20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（公章）</w:t>
            </w:r>
          </w:p>
          <w:p>
            <w:pPr>
              <w:widowControl/>
              <w:shd w:val="clear"/>
              <w:ind w:firstLine="4080" w:firstLineChars="17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br w:type="page"/>
            </w:r>
            <w:r>
              <w:rPr>
                <w:rFonts w:hint="eastAsia" w:ascii="仿宋_GB2312" w:hAnsi="宋体" w:eastAsia="仿宋_GB2312" w:cs="宋体"/>
                <w:color w:val="000000"/>
                <w:kern w:val="0"/>
                <w:sz w:val="24"/>
                <w:szCs w:val="24"/>
              </w:rPr>
              <w:t>年   月   日</w:t>
            </w:r>
          </w:p>
          <w:p>
            <w:pPr>
              <w:widowControl/>
              <w:shd w:val="clear"/>
              <w:jc w:val="left"/>
              <w:rPr>
                <w:rFonts w:ascii="仿宋_GB2312" w:hAnsi="宋体" w:eastAsia="仿宋_GB2312" w:cs="宋体"/>
                <w:color w:val="000000"/>
                <w:kern w:val="0"/>
                <w:sz w:val="24"/>
                <w:szCs w:val="24"/>
              </w:rPr>
            </w:pPr>
          </w:p>
        </w:tc>
      </w:tr>
    </w:tbl>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OWQ0Y2FiYTAwNzY1ZWYwYzNkYzcxYmNlNDRhYjIifQ=="/>
  </w:docVars>
  <w:rsids>
    <w:rsidRoot w:val="00000000"/>
    <w:rsid w:val="234C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2023-07-28T03:16:19Z</dcterms:created>
  <dc:creator>sjcj</dc:creator>
  <cp:lastModifiedBy>燕归于檐</cp:lastModifiedBy>
  <dcterms:modified xsi:type="dcterms:W3CDTF">2023-07-28T03:17:25Z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261A0FF38AE94EF2BCA97F4243A21560_12</vt:lpwstr>
  </property>
</Properties>
</file>