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ADC8">
      <w:pPr>
        <w:widowControl/>
        <w:spacing w:line="360" w:lineRule="auto"/>
        <w:jc w:val="left"/>
        <w:rPr>
          <w:rFonts w:hint="eastAsia" w:ascii="仿宋" w:hAnsi="仿宋" w:eastAsia="仿宋"/>
          <w:sz w:val="32"/>
          <w:szCs w:val="32"/>
        </w:rPr>
      </w:pPr>
      <w:bookmarkStart w:id="8" w:name="_GoBack"/>
      <w:bookmarkEnd w:id="8"/>
      <w:r>
        <w:rPr>
          <w:rFonts w:hint="eastAsia" w:ascii="仿宋" w:hAnsi="仿宋" w:eastAsia="仿宋" w:cs="黑体"/>
          <w:sz w:val="32"/>
          <w:szCs w:val="32"/>
        </w:rPr>
        <w:t>附件1：</w:t>
      </w:r>
    </w:p>
    <w:p w14:paraId="485EA37A">
      <w:pPr>
        <w:widowControl/>
        <w:spacing w:line="360" w:lineRule="auto"/>
        <w:jc w:val="center"/>
        <w:rPr>
          <w:rFonts w:hint="eastAsia" w:ascii="华文中宋" w:hAnsi="华文中宋" w:eastAsia="华文中宋" w:cs="黑体"/>
          <w:sz w:val="36"/>
          <w:szCs w:val="36"/>
        </w:rPr>
      </w:pPr>
      <w:r>
        <w:rPr>
          <w:rFonts w:hint="eastAsia" w:ascii="华文中宋" w:hAnsi="华文中宋" w:eastAsia="华文中宋" w:cs="黑体"/>
          <w:sz w:val="36"/>
          <w:szCs w:val="36"/>
        </w:rPr>
        <w:t>AI赋能涉税专业服务技能竞赛方案</w:t>
      </w:r>
    </w:p>
    <w:p w14:paraId="71B266A5">
      <w:pPr>
        <w:widowControl/>
        <w:spacing w:line="360" w:lineRule="auto"/>
        <w:jc w:val="left"/>
        <w:rPr>
          <w:rFonts w:hint="eastAsia" w:ascii="仿宋" w:hAnsi="仿宋" w:eastAsia="仿宋" w:cs="黑体"/>
          <w:sz w:val="32"/>
          <w:szCs w:val="32"/>
        </w:rPr>
      </w:pPr>
    </w:p>
    <w:p w14:paraId="6418B449">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为深入学习贯彻党的二十大及历次全会精神，全面贯彻落实习近平总书记对技能人才工作重要指示精神，扎实推进落实国务院《关于深入实施“人工智能+”行动的意见》，中国注册税务师协会组织开展全国税务师行业AI赋能涉税专业服务技能竞赛。</w:t>
      </w:r>
    </w:p>
    <w:p w14:paraId="22C94789">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一、指导思想</w:t>
      </w:r>
    </w:p>
    <w:p w14:paraId="1ECA25A4">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以习近平新时代中国特色社会主义思想为指导，深入学习贯彻党的二十大及历次全会精神，全面落实习近平总书记关于技能人才工作的重要指示精神，紧扣国务院《关于深入实施“人工智能+”行动的意见》部署要求，立足税务师行业数智化转型与高质量发展，坚持以赛促学、以赛促练、以赛促用、以赛促新，聚焦AI工具与涉税专业服务深度融合，着力锤炼从业人员人机协同、专业合规、风险把控与团队协作能力，培育兼具税务专业素养与数智技能的复合型人才，推动行业智能化、规范化、专业化升级，为服务国家税收治理现代化、助力中国式现代化税务实践提供坚实人才支撑与专业保障。</w:t>
      </w:r>
    </w:p>
    <w:p w14:paraId="4C12DA5F">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二、工作目标</w:t>
      </w:r>
    </w:p>
    <w:p w14:paraId="0A504788">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强化人才培育，引导全行业从业人员钻研AI工具及智能辅助工具应用技能，培育复合型涉税服务人才，夯实行业发展根基；深化AI赋能，推动AI技术与涉税专业服务深度融合，总结可复制的赋能模式，助力行业数智化转型升级；搭建交流平台，展示AI应用优秀成果，激发行业创新活力，形成比学赶超的良好局面；打造竞赛特色品牌，扩大行业影响力，彰显税务师行业服务国家税收治理现代化的责任与担当。</w:t>
      </w:r>
    </w:p>
    <w:p w14:paraId="44D4D7CA">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三、总体设计</w:t>
      </w:r>
    </w:p>
    <w:p w14:paraId="346740B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（一）竞赛名称</w:t>
      </w:r>
    </w:p>
    <w:p w14:paraId="782B8320">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智税赋能  数创未来——全国税务师行业AI赋能涉税专业服务技能竞赛</w:t>
      </w:r>
    </w:p>
    <w:p w14:paraId="3852551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（二）竞赛主题</w:t>
      </w:r>
    </w:p>
    <w:p w14:paraId="4998285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AI赋能涉税</w:t>
      </w:r>
      <w:r>
        <w:rPr>
          <w:rFonts w:hint="eastAsia" w:ascii="仿宋" w:hAnsi="仿宋" w:eastAsia="仿宋" w:cs="黑体"/>
          <w:color w:val="000000"/>
          <w:sz w:val="32"/>
          <w:szCs w:val="32"/>
        </w:rPr>
        <w:t>专业</w:t>
      </w:r>
      <w:r>
        <w:rPr>
          <w:rFonts w:hint="eastAsia" w:ascii="仿宋" w:hAnsi="仿宋" w:eastAsia="仿宋" w:cs="黑体"/>
          <w:sz w:val="32"/>
          <w:szCs w:val="32"/>
        </w:rPr>
        <w:t>服务  创新驱动行业发展</w:t>
      </w:r>
    </w:p>
    <w:p w14:paraId="6D50F755">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（三）竞赛组织</w:t>
      </w:r>
    </w:p>
    <w:p w14:paraId="562D74A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1.主办：中国注册税务师协会</w:t>
      </w:r>
    </w:p>
    <w:p w14:paraId="28E05554">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2.协办：各省、自治区、直辖市和计划单列市注册税务师协会</w:t>
      </w:r>
    </w:p>
    <w:p w14:paraId="41362F43">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3.承办：专业服务机构</w:t>
      </w:r>
    </w:p>
    <w:p w14:paraId="56BFFC93">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4.参赛对象：中国注册税务师协会单位会员</w:t>
      </w:r>
    </w:p>
    <w:p w14:paraId="1E49681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（四）赛程安排</w:t>
      </w:r>
    </w:p>
    <w:p w14:paraId="012A5E1F">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报名时间：2026年6月。报名至初赛期间，</w:t>
      </w:r>
      <w:r>
        <w:rPr>
          <w:rFonts w:hint="eastAsia" w:ascii="仿宋" w:hAnsi="仿宋" w:eastAsia="仿宋"/>
          <w:sz w:val="32"/>
          <w:szCs w:val="32"/>
        </w:rPr>
        <w:t>各地税协、税务师事务所</w:t>
      </w:r>
      <w:r>
        <w:rPr>
          <w:rFonts w:hint="eastAsia" w:ascii="仿宋" w:hAnsi="仿宋" w:eastAsia="仿宋" w:cs="黑体"/>
          <w:sz w:val="32"/>
          <w:szCs w:val="32"/>
        </w:rPr>
        <w:t>组织本所人员以各种形式学习掌握AI智能工具。</w:t>
      </w:r>
    </w:p>
    <w:p w14:paraId="51698E19">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竞赛时间：2026年7月至9月（分初赛、复赛、决赛，具体时段另行通知）。</w:t>
      </w:r>
    </w:p>
    <w:p w14:paraId="597D2F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竞赛地点：参加初赛、复赛的地点由各事务所自选；决赛地点由中税协选定。</w:t>
      </w:r>
    </w:p>
    <w:p w14:paraId="32A06F52">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（五）竞赛形式</w:t>
      </w:r>
    </w:p>
    <w:p w14:paraId="4FDB631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竞赛依托AI智能竞赛平台进行，参赛事务所在平台上完成报名、登录，参加竞赛。各参赛事务所最多允许6个终端上线参加竞赛，其中1个为主终端，其他终端均有加分。</w:t>
      </w:r>
    </w:p>
    <w:p w14:paraId="2E7491EA">
      <w:pPr>
        <w:widowControl/>
        <w:spacing w:line="360" w:lineRule="auto"/>
        <w:rPr>
          <w:rFonts w:hint="eastAsia" w:ascii="仿宋" w:hAnsi="仿宋" w:eastAsia="仿宋" w:cs="黑体"/>
          <w:sz w:val="32"/>
          <w:szCs w:val="32"/>
        </w:rPr>
      </w:pPr>
      <w:r>
        <w:rPr>
          <w:rFonts w:hint="eastAsia" w:ascii="仿宋" w:hAnsi="仿宋" w:eastAsia="仿宋" w:cs="黑体"/>
          <w:sz w:val="32"/>
          <w:szCs w:val="32"/>
        </w:rPr>
        <w:t>竞赛设初赛、复赛、决赛三个阶段。其中决赛包括高端竞技、AI应用展示2个环节。</w:t>
      </w:r>
    </w:p>
    <w:p w14:paraId="490E98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复赛在线上进行，依托AI竞赛平台完成案例解析，初赛、复赛时间均为90分钟。选手可以从三类考题中最多选择3道题（合计总分300分），每道案例题均要在线上AI竞赛平台完成“提示词设计→AI初稿+人工纠错→最终正式税务报告”的全流程操作（初赛、复赛执行此规则）。</w:t>
      </w:r>
    </w:p>
    <w:p w14:paraId="50098FD2">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结束后，按各事务所团队总成绩排序（事务所全部参赛终端总成绩取平均值+参赛终端加分），60%事务所团队进入复赛，竞赛规则与初赛相同。复赛结束后，按各事务所团队总成绩排序，50%事务所团队或复赛成绩位居前30名的事务所团队进入决赛。</w:t>
      </w:r>
    </w:p>
    <w:p w14:paraId="19DF5BD6">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决赛在线下集中进行，由专家评委对竞赛评分，对AI应用成果进行点评。</w:t>
      </w:r>
    </w:p>
    <w:p w14:paraId="28D2CD7A">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本次竞赛初赛、复赛以线上实操为核心形式，参赛税务师事务所依托现有计算机终端，无需额外配备专用设备，运用社会通用AI工具（本次竞赛限定豆包、千问、DeepSeek三种），对竞赛平台统一提供的涉税专业服务案例进行全流程解析。解析过程分为三个环节，各环节层层递进、重点突出：</w:t>
      </w:r>
    </w:p>
    <w:p w14:paraId="3A2185A8">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一是</w:t>
      </w:r>
      <w:r>
        <w:rPr>
          <w:rFonts w:hint="eastAsia" w:ascii="仿宋" w:hAnsi="仿宋" w:eastAsia="仿宋" w:cs="黑体"/>
          <w:sz w:val="32"/>
          <w:szCs w:val="32"/>
        </w:rPr>
        <w:t>提示引导环节：参赛人员精准梳理竞赛案例核心信息、业务需求及相关要求，向AI工具输入规范、专业提示指令，引导AI工具精准把握解析方向；</w:t>
      </w:r>
    </w:p>
    <w:p w14:paraId="33114AAF">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二是</w:t>
      </w:r>
      <w:r>
        <w:rPr>
          <w:rFonts w:hint="eastAsia" w:ascii="仿宋" w:hAnsi="仿宋" w:eastAsia="仿宋" w:cs="黑体"/>
          <w:sz w:val="32"/>
          <w:szCs w:val="32"/>
        </w:rPr>
        <w:t>修改完善环节：针对AI工具初步生成的税务报告，参赛人员结合涉税专业知识和执业规范，全面查找报告中存在的政策偏差、逻辑漏洞、表述缺陷等问题，并进行针对性修改完善，提升报告专业性；</w:t>
      </w:r>
    </w:p>
    <w:p w14:paraId="396AEE72">
      <w:pPr>
        <w:widowControl/>
        <w:spacing w:line="360" w:lineRule="auto"/>
        <w:ind w:firstLine="640" w:firstLineChars="200"/>
        <w:rPr>
          <w:rFonts w:hint="eastAsia" w:ascii="仿宋" w:hAnsi="仿宋" w:eastAsia="仿宋" w:cs="黑体"/>
          <w:sz w:val="32"/>
          <w:szCs w:val="32"/>
        </w:rPr>
      </w:pPr>
      <w:r>
        <w:rPr>
          <w:rFonts w:hint="eastAsia" w:ascii="黑体" w:hAnsi="黑体" w:eastAsia="黑体" w:cs="黑体"/>
          <w:sz w:val="32"/>
          <w:szCs w:val="32"/>
        </w:rPr>
        <w:t>三是</w:t>
      </w:r>
      <w:r>
        <w:rPr>
          <w:rFonts w:hint="eastAsia" w:ascii="仿宋" w:hAnsi="仿宋" w:eastAsia="仿宋" w:cs="黑体"/>
          <w:sz w:val="32"/>
          <w:szCs w:val="32"/>
        </w:rPr>
        <w:t>审核定稿环节：对AI工具优化后最终提供的税务报告进行全面审核校验，重点核查政策合规性、内容完整性、数据计算准确性和格式规范性，最终形成符合涉税执业标准的正式税务报告。</w:t>
      </w:r>
    </w:p>
    <w:p w14:paraId="564A6135">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决赛阶段，突出AI深度应用竞技和评价，检验事务所运用AI智能体及API、RPA、OCR等智能辅助工具能力水平，聚焦涉税专业服务中高频次、高复杂度案例开展深度解析，检验AI工具与辅助工具的融合应用能力。</w:t>
      </w:r>
    </w:p>
    <w:p w14:paraId="10A3B3D1">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四、竞赛内容</w:t>
      </w:r>
    </w:p>
    <w:p w14:paraId="733612FE">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初赛、复赛的税务案例由中税协提供；决赛的展示案例由各参赛事务所自行准备，需贴合涉税专业服务实际场景，突出AI工具应用。</w:t>
      </w:r>
    </w:p>
    <w:p w14:paraId="7C8391B5">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竞赛题型采用但不限于中税协印发《关于推进税务师行业人工智能应用发展的指导意见》中列举的16个涉税中介核心业务场景，设置高级、中级、基础级三类案例考题，均为实操性案例。三类考题依照难度系数赋予不同权重：基础类20%、中级类30%、高级类50%。</w:t>
      </w:r>
    </w:p>
    <w:p w14:paraId="5E79BB46">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（一）基础类案例试题</w:t>
      </w:r>
    </w:p>
    <w:p w14:paraId="7F124345">
      <w:pPr>
        <w:widowControl/>
        <w:spacing w:line="360" w:lineRule="auto"/>
        <w:ind w:firstLine="640" w:firstLineChars="200"/>
        <w:jc w:val="left"/>
        <w:rPr>
          <w:rFonts w:hint="eastAsia" w:ascii="楷体" w:hAnsi="楷体" w:eastAsia="楷体" w:cs="黑体"/>
          <w:sz w:val="32"/>
          <w:szCs w:val="32"/>
        </w:rPr>
      </w:pPr>
      <w:bookmarkStart w:id="0" w:name="heading_1"/>
      <w:r>
        <w:rPr>
          <w:rFonts w:hint="eastAsia" w:ascii="楷体" w:hAnsi="楷体" w:eastAsia="楷体" w:cs="黑体"/>
          <w:sz w:val="32"/>
          <w:szCs w:val="32"/>
        </w:rPr>
        <w:t>（1）核心判定标准</w:t>
      </w:r>
      <w:bookmarkEnd w:id="0"/>
    </w:p>
    <w:p w14:paraId="7AAB9BE8">
      <w:pPr>
        <w:spacing w:line="360" w:lineRule="auto"/>
        <w:ind w:firstLine="640" w:firstLineChars="200"/>
        <w:outlineLvl w:val="1"/>
        <w:rPr>
          <w:rFonts w:hint="eastAsia" w:ascii="仿宋" w:hAnsi="仿宋" w:eastAsia="仿宋" w:cs="黑体"/>
          <w:sz w:val="32"/>
          <w:szCs w:val="32"/>
        </w:rPr>
      </w:pPr>
      <w:bookmarkStart w:id="1" w:name="heading_2"/>
      <w:r>
        <w:rPr>
          <w:rFonts w:hint="eastAsia" w:ascii="仿宋" w:hAnsi="仿宋" w:eastAsia="仿宋" w:cs="黑体"/>
          <w:sz w:val="32"/>
          <w:szCs w:val="32"/>
        </w:rPr>
        <w:t>聚焦基础涉税业务与常规操作场景，涵盖企业所得税汇算清缴、研发费用加计扣除、发票管理、基础税务优惠申请等常见事项，重点考察AI工具在文档生成、政策查询、纳税义务判定等环节的基础应用能力，适合考查税务人员对标准化业务流程的掌握与辅助工具的基础使用水平。</w:t>
      </w:r>
    </w:p>
    <w:p w14:paraId="24891E9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（2）业务及场景范围</w:t>
      </w:r>
      <w:bookmarkEnd w:id="1"/>
    </w:p>
    <w:p w14:paraId="3B66BAA7">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6F137CEB">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1.涉税鉴证：企业所得税年度汇算清缴鉴证、资产损失所得税前扣除鉴证、安置残疾人员工资加计扣除鉴证、个人所得税合规计划、研发费用加计扣除鉴证、企业税前弥补亏损鉴证、增值税差额征税项目鉴证；</w:t>
      </w:r>
    </w:p>
    <w:p w14:paraId="59AC44E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2.财税咨询：税收政策咨询及应用指导、纳税服务手册编写；</w:t>
      </w:r>
    </w:p>
    <w:p w14:paraId="40DCEDD2">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3.税务风险管理：</w:t>
      </w:r>
      <w:r>
        <w:rPr>
          <w:rFonts w:ascii="仿宋" w:hAnsi="仿宋" w:eastAsia="仿宋" w:cs="黑体"/>
          <w:sz w:val="32"/>
          <w:szCs w:val="32"/>
        </w:rPr>
        <w:t>涉税业务梳理</w:t>
      </w:r>
      <w:r>
        <w:rPr>
          <w:rFonts w:hint="eastAsia" w:ascii="仿宋" w:hAnsi="仿宋" w:eastAsia="仿宋" w:cs="黑体"/>
          <w:sz w:val="32"/>
          <w:szCs w:val="32"/>
        </w:rPr>
        <w:t>、</w:t>
      </w:r>
      <w:r>
        <w:rPr>
          <w:rFonts w:ascii="仿宋" w:hAnsi="仿宋" w:eastAsia="仿宋" w:cs="黑体"/>
          <w:sz w:val="32"/>
          <w:szCs w:val="32"/>
        </w:rPr>
        <w:t>纳税义务判定</w:t>
      </w:r>
      <w:r>
        <w:rPr>
          <w:rFonts w:hint="eastAsia" w:ascii="仿宋" w:hAnsi="仿宋" w:eastAsia="仿宋" w:cs="黑体"/>
          <w:sz w:val="32"/>
          <w:szCs w:val="32"/>
        </w:rPr>
        <w:t>、</w:t>
      </w:r>
      <w:r>
        <w:rPr>
          <w:rFonts w:ascii="仿宋" w:hAnsi="仿宋" w:eastAsia="仿宋" w:cs="黑体"/>
          <w:sz w:val="32"/>
          <w:szCs w:val="32"/>
        </w:rPr>
        <w:t>业务合同审核及纳税风险评估</w:t>
      </w:r>
      <w:r>
        <w:rPr>
          <w:rFonts w:hint="eastAsia" w:ascii="仿宋" w:hAnsi="仿宋" w:eastAsia="仿宋" w:cs="黑体"/>
          <w:sz w:val="32"/>
          <w:szCs w:val="32"/>
        </w:rPr>
        <w:t>；</w:t>
      </w:r>
    </w:p>
    <w:p w14:paraId="769C7431">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4.其他基础业务：各类涉税文书的基础文档生成、发票管理、基础税务优惠申请辅助等。</w:t>
      </w:r>
    </w:p>
    <w:p w14:paraId="6B227302">
      <w:pPr>
        <w:widowControl/>
        <w:spacing w:line="360" w:lineRule="auto"/>
        <w:ind w:firstLine="640" w:firstLineChars="200"/>
        <w:jc w:val="left"/>
        <w:rPr>
          <w:rFonts w:hint="eastAsia" w:ascii="楷体" w:hAnsi="楷体" w:eastAsia="楷体" w:cs="黑体"/>
          <w:sz w:val="32"/>
          <w:szCs w:val="32"/>
        </w:rPr>
      </w:pPr>
      <w:bookmarkStart w:id="2" w:name="heading_3"/>
      <w:r>
        <w:rPr>
          <w:rFonts w:hint="eastAsia" w:ascii="楷体" w:hAnsi="楷体" w:eastAsia="楷体" w:cs="黑体"/>
          <w:sz w:val="32"/>
          <w:szCs w:val="32"/>
        </w:rPr>
        <w:t>（二）中级类案例试题</w:t>
      </w:r>
      <w:bookmarkEnd w:id="2"/>
    </w:p>
    <w:p w14:paraId="23A313A2">
      <w:pPr>
        <w:widowControl/>
        <w:spacing w:line="360" w:lineRule="auto"/>
        <w:ind w:firstLine="640" w:firstLineChars="200"/>
        <w:jc w:val="left"/>
        <w:rPr>
          <w:rFonts w:hint="eastAsia" w:ascii="楷体" w:hAnsi="楷体" w:eastAsia="楷体" w:cs="黑体"/>
          <w:sz w:val="32"/>
          <w:szCs w:val="32"/>
        </w:rPr>
      </w:pPr>
      <w:bookmarkStart w:id="3" w:name="heading_4"/>
      <w:r>
        <w:rPr>
          <w:rFonts w:hint="eastAsia" w:ascii="楷体" w:hAnsi="楷体" w:eastAsia="楷体" w:cs="黑体"/>
          <w:sz w:val="32"/>
          <w:szCs w:val="32"/>
        </w:rPr>
        <w:t>（1）核心判定标准</w:t>
      </w:r>
      <w:bookmarkEnd w:id="3"/>
    </w:p>
    <w:p w14:paraId="4234E3BA">
      <w:pPr>
        <w:spacing w:line="360" w:lineRule="auto"/>
        <w:ind w:firstLine="640" w:firstLineChars="200"/>
        <w:rPr>
          <w:rFonts w:hint="eastAsia" w:ascii="仿宋" w:hAnsi="仿宋" w:eastAsia="仿宋" w:cs="黑体"/>
          <w:sz w:val="32"/>
          <w:szCs w:val="32"/>
        </w:rPr>
      </w:pPr>
      <w:bookmarkStart w:id="4" w:name="heading_5"/>
      <w:r>
        <w:rPr>
          <w:rFonts w:hint="eastAsia" w:ascii="仿宋" w:hAnsi="仿宋" w:eastAsia="仿宋" w:cs="黑体"/>
          <w:sz w:val="32"/>
          <w:szCs w:val="32"/>
        </w:rPr>
        <w:t>围绕高频涉税业务与实务应用场景，涉及土地增值税清算、高新技术企业认定、跨境简单涉税业务处理、常规纳税风险评估等内容，重点考查AI工具在数据分析、政策适用判断、内部控制优化等方面的进阶应用能力，要求具备一定的专业积累与业务判断能力，适合考查税务人员在复杂实务中的综合处理能力。</w:t>
      </w:r>
    </w:p>
    <w:p w14:paraId="0211210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（2）业务及场景范围</w:t>
      </w:r>
      <w:bookmarkEnd w:id="4"/>
    </w:p>
    <w:p w14:paraId="662DB853">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030548B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1.涉税鉴证：房地产开发企业完工产品清算鉴证、土地增值税清算鉴证、企业清算所得税申报鉴证、高新技术企业资格认定专项鉴证；</w:t>
      </w:r>
    </w:p>
    <w:p w14:paraId="7CC41315">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2.国际税收：外派员工个税汇缴、企业境外业务所得税抵免。</w:t>
      </w:r>
    </w:p>
    <w:p w14:paraId="091D1514">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3.财税咨询：经营业务纳税影响分析、纳税合规性鉴证咨询；</w:t>
      </w:r>
    </w:p>
    <w:p w14:paraId="3BBE61D4">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4.税务风险管理：纳税风险评估、税务内部控制制度建立健全、税收管理流程优化、定期的税收合规性健康检查。</w:t>
      </w:r>
    </w:p>
    <w:p w14:paraId="11BBD963">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5.其他实务业务：税务数据分析、业财税管理、研发项目税务合规管理等。</w:t>
      </w:r>
    </w:p>
    <w:p w14:paraId="6E8F567F">
      <w:pPr>
        <w:widowControl/>
        <w:spacing w:line="360" w:lineRule="auto"/>
        <w:ind w:firstLine="640" w:firstLineChars="200"/>
        <w:jc w:val="left"/>
        <w:rPr>
          <w:rFonts w:hint="eastAsia" w:ascii="楷体" w:hAnsi="楷体" w:eastAsia="楷体" w:cs="黑体"/>
          <w:sz w:val="32"/>
          <w:szCs w:val="32"/>
        </w:rPr>
      </w:pPr>
      <w:bookmarkStart w:id="5" w:name="heading_6"/>
      <w:r>
        <w:rPr>
          <w:rFonts w:hint="eastAsia" w:ascii="楷体" w:hAnsi="楷体" w:eastAsia="楷体" w:cs="黑体"/>
          <w:sz w:val="32"/>
          <w:szCs w:val="32"/>
        </w:rPr>
        <w:t>（三）高级类案例试题</w:t>
      </w:r>
      <w:bookmarkEnd w:id="5"/>
    </w:p>
    <w:p w14:paraId="0BF6346F">
      <w:pPr>
        <w:widowControl/>
        <w:spacing w:line="360" w:lineRule="auto"/>
        <w:ind w:firstLine="640" w:firstLineChars="200"/>
        <w:jc w:val="left"/>
        <w:rPr>
          <w:rFonts w:hint="eastAsia" w:ascii="楷体" w:hAnsi="楷体" w:eastAsia="楷体" w:cs="黑体"/>
          <w:sz w:val="32"/>
          <w:szCs w:val="32"/>
        </w:rPr>
      </w:pPr>
      <w:bookmarkStart w:id="6" w:name="heading_7"/>
      <w:r>
        <w:rPr>
          <w:rFonts w:hint="eastAsia" w:ascii="楷体" w:hAnsi="楷体" w:eastAsia="楷体" w:cs="黑体"/>
          <w:sz w:val="32"/>
          <w:szCs w:val="32"/>
        </w:rPr>
        <w:t>（1）核心判定标准</w:t>
      </w:r>
      <w:bookmarkEnd w:id="6"/>
    </w:p>
    <w:p w14:paraId="7F46482F">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聚焦复杂涉税业务与高难度决策场景，涵盖并购重组规划、转让定价安排、税务争议解决、企业集团整体架构设计等内容，重点考查AI工具在方案设计、风险研判、国际税收协调等领域的深度应用能力，要求具备较强的综合研判与战略规划能力，适合考查税务人员在高端业务中的专业引领与决策支持水平。</w:t>
      </w:r>
    </w:p>
    <w:p w14:paraId="464C2650">
      <w:pPr>
        <w:widowControl/>
        <w:spacing w:line="360" w:lineRule="auto"/>
        <w:ind w:firstLine="640" w:firstLineChars="200"/>
        <w:jc w:val="left"/>
        <w:rPr>
          <w:rFonts w:hint="eastAsia" w:ascii="楷体" w:hAnsi="楷体" w:eastAsia="楷体" w:cs="黑体"/>
          <w:sz w:val="32"/>
          <w:szCs w:val="32"/>
        </w:rPr>
      </w:pPr>
      <w:bookmarkStart w:id="7" w:name="heading_8"/>
      <w:r>
        <w:rPr>
          <w:rFonts w:hint="eastAsia" w:ascii="楷体" w:hAnsi="楷体" w:eastAsia="楷体" w:cs="黑体"/>
          <w:sz w:val="32"/>
          <w:szCs w:val="32"/>
        </w:rPr>
        <w:t>（2）业务及场景范围</w:t>
      </w:r>
      <w:bookmarkEnd w:id="7"/>
    </w:p>
    <w:p w14:paraId="7266B2FC">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对应核心业务及细分方向，包括但不限于：</w:t>
      </w:r>
    </w:p>
    <w:p w14:paraId="68ED6B46">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1.涉税合规计划：投资、筹资业务的纳税合规计划、企业改组改制、并购重组业务的纳税合规计划、上市公司重大经营决策、定向增发等事项的纳税合规计划、企业集团整体纳税合规计划；</w:t>
      </w:r>
    </w:p>
    <w:p w14:paraId="773954D6">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2.转让定价：转让定价的规则、预约定价安排、同期资料准备、特别纳税调整应对；</w:t>
      </w:r>
    </w:p>
    <w:p w14:paraId="6D7891F9">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3.税务风险管理：企业集团整体纳税合规计划、税务尽职调查、构建税务风险管理体系、税务组织架构设计；</w:t>
      </w:r>
    </w:p>
    <w:p w14:paraId="4584DD97">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4.税务事项沟通与商定：税务分歧协调的建议和策略、税务稽查应对措施、税务争议解决方案、税务复议及诉讼程序咨询、相互协商程序支持、申请税务事项裁决；</w:t>
      </w:r>
    </w:p>
    <w:p w14:paraId="1535C57F">
      <w:pPr>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5.国际税收：国际税收情报收集、跨境增值税处理、CRS尽职调查的合规服务、海外项目整体架构与风险管理、</w:t>
      </w:r>
      <w:r>
        <w:rPr>
          <w:rFonts w:ascii="仿宋" w:hAnsi="仿宋" w:eastAsia="仿宋" w:cs="黑体"/>
          <w:sz w:val="32"/>
          <w:szCs w:val="32"/>
        </w:rPr>
        <w:t>境外业务税务服务跟进</w:t>
      </w:r>
      <w:r>
        <w:rPr>
          <w:rFonts w:hint="eastAsia" w:ascii="仿宋" w:hAnsi="仿宋" w:eastAsia="仿宋" w:cs="黑体"/>
          <w:sz w:val="32"/>
          <w:szCs w:val="32"/>
        </w:rPr>
        <w:t>、具体国别税务管理手册、跨境重组税务服务、企业海外投资架构设计、融资结构及资金流税务策划。</w:t>
      </w:r>
    </w:p>
    <w:p w14:paraId="4AE6523B">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五、成绩核算与晋级规则</w:t>
      </w:r>
    </w:p>
    <w:p w14:paraId="00ED8B03">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（一）分值权重分配</w:t>
      </w:r>
    </w:p>
    <w:p w14:paraId="33FAA2F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AI竞赛平台向参赛事务所提供基础类、中级类、高级类等各类案例题，选手最多可任选3道题作答，按所选题目对应的权重折算计入总分。</w:t>
      </w:r>
    </w:p>
    <w:p w14:paraId="3149E1E0">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举例：如选择1道基础题、1道中级题、1道高级题，总分=基础题得分×20%+中级题得分×30%+高级题得分×50%。</w:t>
      </w:r>
    </w:p>
    <w:p w14:paraId="7A6B2A0C">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（二）成绩核算公式</w:t>
      </w:r>
    </w:p>
    <w:p w14:paraId="7C39047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团体赛总分 = 所选3道题目得分×对应权重之和 + 终端加分（每增加1个终端加1分，最高加5分）</w:t>
      </w:r>
    </w:p>
    <w:p w14:paraId="326DDD7E">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（三）基础成绩合格线</w:t>
      </w:r>
    </w:p>
    <w:p w14:paraId="3BD6F986">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核心考题总分≥60分为合格，可参与晋级及奖项评选；若所选题目中任意1道题得分低于该题满分的60%，直接取消评奖及晋级资格。</w:t>
      </w:r>
    </w:p>
    <w:p w14:paraId="412F5FD9">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（四）分阶段晋级规则</w:t>
      </w:r>
    </w:p>
    <w:p w14:paraId="517CDD5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初赛：所有报名事务所参与，按初赛总分从高到低取前60%晋级复赛，同分者按处理规则；</w:t>
      </w:r>
    </w:p>
    <w:p w14:paraId="3E439CA8">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复赛：初赛晋级事务所参与，按复赛总分从高到低取前50%或成绩位居前30的事务所，同分者按处理规则；</w:t>
      </w:r>
    </w:p>
    <w:p w14:paraId="42DDBB4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决赛（高端竞技）：不多于30个晋级事务所参与线下AI应用竞技，按决赛评分规则核算成绩，直接确定各类奖项归属。</w:t>
      </w:r>
    </w:p>
    <w:p w14:paraId="4F65D833">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决赛（AI应用展示）：由高端竞技成绩排名前10位的事务所参赛，各自展示应用AI解决涉税专业服务项目的能力与水平。</w:t>
      </w:r>
    </w:p>
    <w:p w14:paraId="1123F4B9">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（五）同分处理规则</w:t>
      </w:r>
    </w:p>
    <w:p w14:paraId="2B7008AB">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初赛、复赛总分相同时，按以下顺序判定排名：</w:t>
      </w:r>
    </w:p>
    <w:p w14:paraId="04094917">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1.高级类题目得分高者靠前；</w:t>
      </w:r>
    </w:p>
    <w:p w14:paraId="734596F9">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2.中级类题目得分高者靠前；</w:t>
      </w:r>
    </w:p>
    <w:p w14:paraId="4FBDC152">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3.终端加分多者靠前；</w:t>
      </w:r>
    </w:p>
    <w:p w14:paraId="3DAE5229">
      <w:pPr>
        <w:widowControl/>
        <w:spacing w:line="360" w:lineRule="auto"/>
        <w:ind w:firstLine="640" w:firstLineChars="200"/>
        <w:jc w:val="left"/>
        <w:rPr>
          <w:rFonts w:hint="eastAsia" w:ascii="仿宋" w:hAnsi="仿宋" w:eastAsia="仿宋" w:cs="黑体"/>
          <w:sz w:val="32"/>
          <w:szCs w:val="32"/>
        </w:rPr>
      </w:pPr>
      <w:r>
        <w:rPr>
          <w:rFonts w:hint="eastAsia" w:ascii="仿宋" w:hAnsi="仿宋" w:eastAsia="仿宋" w:cs="黑体"/>
          <w:sz w:val="32"/>
          <w:szCs w:val="32"/>
        </w:rPr>
        <w:t>4.若仍同分，则共同进入下个竞赛环节。</w:t>
      </w:r>
    </w:p>
    <w:p w14:paraId="6392D3E5">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六、奖项设置</w:t>
      </w:r>
    </w:p>
    <w:p w14:paraId="12D7F2B4">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本次竞赛设置“</w:t>
      </w:r>
      <w:r>
        <w:rPr>
          <w:rFonts w:ascii="仿宋" w:hAnsi="仿宋" w:eastAsia="仿宋" w:cs="黑体"/>
          <w:bCs/>
          <w:sz w:val="32"/>
          <w:szCs w:val="32"/>
        </w:rPr>
        <w:t>优秀组织奖</w:t>
      </w:r>
      <w:r>
        <w:rPr>
          <w:rFonts w:ascii="仿宋" w:hAnsi="仿宋" w:eastAsia="仿宋" w:cs="黑体"/>
          <w:sz w:val="32"/>
          <w:szCs w:val="32"/>
        </w:rPr>
        <w:t xml:space="preserve"> </w:t>
      </w:r>
      <w:r>
        <w:rPr>
          <w:rFonts w:hint="eastAsia" w:ascii="仿宋" w:hAnsi="仿宋" w:eastAsia="仿宋" w:cs="黑体"/>
          <w:sz w:val="32"/>
          <w:szCs w:val="32"/>
        </w:rPr>
        <w:t>”、“</w:t>
      </w:r>
      <w:r>
        <w:rPr>
          <w:rFonts w:ascii="仿宋" w:hAnsi="仿宋" w:eastAsia="仿宋" w:cs="黑体"/>
          <w:sz w:val="32"/>
          <w:szCs w:val="32"/>
        </w:rPr>
        <w:t>卓越技能奖</w:t>
      </w:r>
      <w:r>
        <w:rPr>
          <w:rFonts w:hint="eastAsia" w:ascii="仿宋" w:hAnsi="仿宋" w:eastAsia="仿宋" w:cs="黑体"/>
          <w:sz w:val="32"/>
          <w:szCs w:val="32"/>
        </w:rPr>
        <w:t>”、“</w:t>
      </w:r>
      <w:r>
        <w:rPr>
          <w:rFonts w:ascii="仿宋" w:hAnsi="仿宋" w:eastAsia="仿宋" w:cs="黑体"/>
          <w:sz w:val="32"/>
          <w:szCs w:val="32"/>
        </w:rPr>
        <w:t>先锋技能奖</w:t>
      </w:r>
      <w:r>
        <w:rPr>
          <w:rFonts w:hint="eastAsia" w:ascii="仿宋" w:hAnsi="仿宋" w:eastAsia="仿宋" w:cs="黑体"/>
          <w:sz w:val="32"/>
          <w:szCs w:val="32"/>
        </w:rPr>
        <w:t>”、“</w:t>
      </w:r>
      <w:r>
        <w:rPr>
          <w:rFonts w:ascii="仿宋" w:hAnsi="仿宋" w:eastAsia="仿宋" w:cs="黑体"/>
          <w:sz w:val="32"/>
          <w:szCs w:val="32"/>
        </w:rPr>
        <w:t>典范技能奖</w:t>
      </w:r>
      <w:r>
        <w:rPr>
          <w:rFonts w:hint="eastAsia" w:ascii="仿宋" w:hAnsi="仿宋" w:eastAsia="仿宋" w:cs="黑体"/>
          <w:sz w:val="32"/>
          <w:szCs w:val="32"/>
        </w:rPr>
        <w:t>”、“</w:t>
      </w:r>
      <w:r>
        <w:rPr>
          <w:rFonts w:ascii="仿宋" w:hAnsi="仿宋" w:eastAsia="仿宋" w:cs="黑体"/>
          <w:sz w:val="32"/>
          <w:szCs w:val="32"/>
        </w:rPr>
        <w:t>智能创新奖</w:t>
      </w:r>
      <w:r>
        <w:rPr>
          <w:rFonts w:hint="eastAsia" w:ascii="仿宋" w:hAnsi="仿宋" w:eastAsia="仿宋" w:cs="黑体"/>
          <w:sz w:val="32"/>
          <w:szCs w:val="32"/>
        </w:rPr>
        <w:t>”、“智能</w:t>
      </w:r>
      <w:r>
        <w:rPr>
          <w:rFonts w:ascii="仿宋" w:hAnsi="仿宋" w:eastAsia="仿宋" w:cs="黑体"/>
          <w:sz w:val="32"/>
          <w:szCs w:val="32"/>
        </w:rPr>
        <w:t>设计奖</w:t>
      </w:r>
      <w:r>
        <w:rPr>
          <w:rFonts w:hint="eastAsia" w:ascii="仿宋" w:hAnsi="仿宋" w:eastAsia="仿宋" w:cs="黑体"/>
          <w:sz w:val="32"/>
          <w:szCs w:val="32"/>
        </w:rPr>
        <w:t>”、“智能新锐</w:t>
      </w:r>
      <w:r>
        <w:rPr>
          <w:rFonts w:ascii="仿宋" w:hAnsi="仿宋" w:eastAsia="仿宋" w:cs="黑体"/>
          <w:sz w:val="32"/>
          <w:szCs w:val="32"/>
        </w:rPr>
        <w:t>奖</w:t>
      </w:r>
      <w:r>
        <w:rPr>
          <w:rFonts w:hint="eastAsia" w:ascii="仿宋" w:hAnsi="仿宋" w:eastAsia="仿宋" w:cs="黑体"/>
          <w:sz w:val="32"/>
          <w:szCs w:val="32"/>
        </w:rPr>
        <w:t>”、“</w:t>
      </w: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w:t>
      </w:r>
      <w:r>
        <w:rPr>
          <w:rFonts w:ascii="仿宋" w:hAnsi="仿宋" w:eastAsia="仿宋" w:cs="黑体"/>
          <w:sz w:val="32"/>
          <w:szCs w:val="32"/>
        </w:rPr>
        <w:t>赛区风采奖</w:t>
      </w:r>
      <w:r>
        <w:rPr>
          <w:rFonts w:hint="eastAsia" w:ascii="仿宋" w:hAnsi="仿宋" w:eastAsia="仿宋" w:cs="黑体"/>
          <w:sz w:val="32"/>
          <w:szCs w:val="32"/>
        </w:rPr>
        <w:t>”等九个奖项。所有获奖对象均颁发荣誉证书，部分奖项颁发奖牌。</w:t>
      </w:r>
    </w:p>
    <w:p w14:paraId="01869632">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优秀组织奖：积极组织本地区事务所参赛、参赛覆盖面广、赛前培训到位的省区市和计划单列市税务师协会，授予“优秀组织奖”；</w:t>
      </w:r>
    </w:p>
    <w:p w14:paraId="233CB57C">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卓越技能奖</w:t>
      </w:r>
      <w:r>
        <w:rPr>
          <w:rFonts w:hint="eastAsia" w:ascii="仿宋" w:hAnsi="仿宋" w:eastAsia="仿宋" w:cs="黑体"/>
          <w:sz w:val="32"/>
          <w:szCs w:val="32"/>
        </w:rPr>
        <w:t>：进入决赛的事务所中，AI 工具应用、涉税专业实操、人机协同能力表现突出，综合成绩位居前列，兼具创新性与行业标杆性的，授予“卓越技能奖”（高端竞技第1名）；</w:t>
      </w:r>
    </w:p>
    <w:p w14:paraId="6B0B2E29">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先锋技能奖</w:t>
      </w:r>
      <w:r>
        <w:rPr>
          <w:rFonts w:hint="eastAsia" w:ascii="仿宋" w:hAnsi="仿宋" w:eastAsia="仿宋" w:cs="黑体"/>
          <w:sz w:val="32"/>
          <w:szCs w:val="32"/>
        </w:rPr>
        <w:t>、</w:t>
      </w:r>
      <w:r>
        <w:rPr>
          <w:rFonts w:ascii="仿宋" w:hAnsi="仿宋" w:eastAsia="仿宋" w:cs="黑体"/>
          <w:sz w:val="32"/>
          <w:szCs w:val="32"/>
        </w:rPr>
        <w:t>典范技能奖</w:t>
      </w:r>
      <w:r>
        <w:rPr>
          <w:rFonts w:hint="eastAsia" w:ascii="仿宋" w:hAnsi="仿宋" w:eastAsia="仿宋" w:cs="黑体"/>
          <w:sz w:val="32"/>
          <w:szCs w:val="32"/>
        </w:rPr>
        <w:t>：进入决赛的事务所中，AI 工具应用、涉税专业实操、人机协同能力表现良好，综合成绩优秀，在行业内具有典型示范作用的，授予“</w:t>
      </w:r>
      <w:r>
        <w:rPr>
          <w:rFonts w:ascii="仿宋" w:hAnsi="仿宋" w:eastAsia="仿宋" w:cs="黑体"/>
          <w:sz w:val="32"/>
          <w:szCs w:val="32"/>
        </w:rPr>
        <w:t>先锋技能奖</w:t>
      </w:r>
      <w:r>
        <w:rPr>
          <w:rFonts w:hint="eastAsia" w:ascii="仿宋" w:hAnsi="仿宋" w:eastAsia="仿宋" w:cs="黑体"/>
          <w:sz w:val="32"/>
          <w:szCs w:val="32"/>
        </w:rPr>
        <w:t>”（高端竞技第2名）、“</w:t>
      </w:r>
      <w:r>
        <w:rPr>
          <w:rFonts w:ascii="仿宋" w:hAnsi="仿宋" w:eastAsia="仿宋" w:cs="黑体"/>
          <w:sz w:val="32"/>
          <w:szCs w:val="32"/>
        </w:rPr>
        <w:t>典范技能奖</w:t>
      </w:r>
      <w:r>
        <w:rPr>
          <w:rFonts w:hint="eastAsia" w:ascii="仿宋" w:hAnsi="仿宋" w:eastAsia="仿宋" w:cs="黑体"/>
          <w:sz w:val="32"/>
          <w:szCs w:val="32"/>
        </w:rPr>
        <w:t>”（高端竞技第3名）；</w:t>
      </w:r>
    </w:p>
    <w:p w14:paraId="26F6D79D">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w:t>
      </w:r>
      <w:r>
        <w:rPr>
          <w:rFonts w:ascii="仿宋" w:hAnsi="仿宋" w:eastAsia="仿宋" w:cs="黑体"/>
          <w:sz w:val="32"/>
          <w:szCs w:val="32"/>
        </w:rPr>
        <w:t>智能创新奖</w:t>
      </w:r>
      <w:r>
        <w:rPr>
          <w:rFonts w:hint="eastAsia" w:ascii="仿宋" w:hAnsi="仿宋" w:eastAsia="仿宋" w:cs="黑体"/>
          <w:sz w:val="32"/>
          <w:szCs w:val="32"/>
        </w:rPr>
        <w:t>：进入决赛的事务所中，AI工具应用创新度高、具有行业推广价值的，授予“</w:t>
      </w:r>
      <w:r>
        <w:rPr>
          <w:rFonts w:ascii="仿宋" w:hAnsi="仿宋" w:eastAsia="仿宋" w:cs="黑体"/>
          <w:sz w:val="32"/>
          <w:szCs w:val="32"/>
        </w:rPr>
        <w:t>智能创新奖</w:t>
      </w:r>
      <w:r>
        <w:rPr>
          <w:rFonts w:hint="eastAsia" w:ascii="仿宋" w:hAnsi="仿宋" w:eastAsia="仿宋" w:cs="黑体"/>
          <w:sz w:val="32"/>
          <w:szCs w:val="32"/>
        </w:rPr>
        <w:t>”（高端竞技第4、5名）；</w:t>
      </w:r>
    </w:p>
    <w:p w14:paraId="66BA75E1">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智能</w:t>
      </w:r>
      <w:r>
        <w:rPr>
          <w:rFonts w:ascii="仿宋" w:hAnsi="仿宋" w:eastAsia="仿宋" w:cs="黑体"/>
          <w:sz w:val="32"/>
          <w:szCs w:val="32"/>
        </w:rPr>
        <w:t>设计奖</w:t>
      </w:r>
      <w:r>
        <w:rPr>
          <w:rFonts w:hint="eastAsia" w:ascii="仿宋" w:hAnsi="仿宋" w:eastAsia="仿宋" w:cs="黑体"/>
          <w:sz w:val="32"/>
          <w:szCs w:val="32"/>
        </w:rPr>
        <w:t>：进入决赛的事务所中，案例展示方案设计科学、逻辑清晰、贴合实际的，授予“智能</w:t>
      </w:r>
      <w:r>
        <w:rPr>
          <w:rFonts w:ascii="仿宋" w:hAnsi="仿宋" w:eastAsia="仿宋" w:cs="黑体"/>
          <w:sz w:val="32"/>
          <w:szCs w:val="32"/>
        </w:rPr>
        <w:t>设计奖</w:t>
      </w:r>
      <w:r>
        <w:rPr>
          <w:rFonts w:hint="eastAsia" w:ascii="仿宋" w:hAnsi="仿宋" w:eastAsia="仿宋" w:cs="黑体"/>
          <w:sz w:val="32"/>
          <w:szCs w:val="32"/>
        </w:rPr>
        <w:t>”（高端竞技第6、7名）；</w:t>
      </w:r>
    </w:p>
    <w:p w14:paraId="1A491C65">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智能新锐</w:t>
      </w:r>
      <w:r>
        <w:rPr>
          <w:rFonts w:ascii="仿宋" w:hAnsi="仿宋" w:eastAsia="仿宋" w:cs="黑体"/>
          <w:sz w:val="32"/>
          <w:szCs w:val="32"/>
        </w:rPr>
        <w:t>奖</w:t>
      </w:r>
      <w:r>
        <w:rPr>
          <w:rFonts w:hint="eastAsia" w:ascii="仿宋" w:hAnsi="仿宋" w:eastAsia="仿宋" w:cs="黑体"/>
          <w:sz w:val="32"/>
          <w:szCs w:val="32"/>
        </w:rPr>
        <w:t>：进入决赛的事务所中，AI工具与辅助工具融合应用有独特思路、创意鲜明的，授予“智能新锐</w:t>
      </w:r>
      <w:r>
        <w:rPr>
          <w:rFonts w:ascii="仿宋" w:hAnsi="仿宋" w:eastAsia="仿宋" w:cs="黑体"/>
          <w:sz w:val="32"/>
          <w:szCs w:val="32"/>
        </w:rPr>
        <w:t>奖</w:t>
      </w:r>
      <w:r>
        <w:rPr>
          <w:rFonts w:hint="eastAsia" w:ascii="仿宋" w:hAnsi="仿宋" w:eastAsia="仿宋" w:cs="黑体"/>
          <w:sz w:val="32"/>
          <w:szCs w:val="32"/>
        </w:rPr>
        <w:t>”（高端竞技第8、9、10名）；</w:t>
      </w:r>
    </w:p>
    <w:p w14:paraId="01D31880">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：进入决赛的事务所中，综合表现突出、AI与涉税业务融合效果好的，授予“</w:t>
      </w:r>
      <w:r>
        <w:rPr>
          <w:rFonts w:ascii="仿宋" w:hAnsi="仿宋" w:eastAsia="仿宋" w:cs="黑体"/>
          <w:sz w:val="32"/>
          <w:szCs w:val="32"/>
        </w:rPr>
        <w:t>智</w:t>
      </w:r>
      <w:r>
        <w:rPr>
          <w:rFonts w:hint="eastAsia" w:ascii="仿宋" w:hAnsi="仿宋" w:eastAsia="仿宋" w:cs="黑体"/>
          <w:sz w:val="32"/>
          <w:szCs w:val="32"/>
        </w:rPr>
        <w:t>能</w:t>
      </w:r>
      <w:r>
        <w:rPr>
          <w:rFonts w:ascii="仿宋" w:hAnsi="仿宋" w:eastAsia="仿宋" w:cs="黑体"/>
          <w:sz w:val="32"/>
          <w:szCs w:val="32"/>
        </w:rPr>
        <w:t>应用奖</w:t>
      </w:r>
      <w:r>
        <w:rPr>
          <w:rFonts w:hint="eastAsia" w:ascii="仿宋" w:hAnsi="仿宋" w:eastAsia="仿宋" w:cs="黑体"/>
          <w:sz w:val="32"/>
          <w:szCs w:val="32"/>
        </w:rPr>
        <w:t>”（高端竞技第11至30名）；</w:t>
      </w:r>
    </w:p>
    <w:p w14:paraId="1A5F96C2">
      <w:pPr>
        <w:widowControl/>
        <w:spacing w:line="360" w:lineRule="auto"/>
        <w:ind w:firstLine="640" w:firstLineChars="200"/>
        <w:rPr>
          <w:rFonts w:hint="eastAsia" w:ascii="仿宋" w:hAnsi="仿宋" w:eastAsia="仿宋" w:cs="黑体"/>
          <w:sz w:val="32"/>
          <w:szCs w:val="32"/>
        </w:rPr>
      </w:pPr>
      <w:r>
        <w:rPr>
          <w:rFonts w:ascii="仿宋" w:hAnsi="仿宋" w:eastAsia="仿宋" w:cs="黑体"/>
          <w:sz w:val="32"/>
          <w:szCs w:val="32"/>
        </w:rPr>
        <w:t>赛区风采奖</w:t>
      </w:r>
      <w:r>
        <w:rPr>
          <w:rFonts w:hint="eastAsia" w:ascii="仿宋" w:hAnsi="仿宋" w:eastAsia="仿宋" w:cs="黑体"/>
          <w:sz w:val="32"/>
          <w:szCs w:val="32"/>
        </w:rPr>
        <w:t>：各省区市和计划单列市参赛的事务所，按本地名次排列前三名的，授予“中国注册税务师协会AI 赋能涉税专业服务技能竞赛”XX省赛区“</w:t>
      </w:r>
      <w:r>
        <w:rPr>
          <w:rFonts w:ascii="仿宋" w:hAnsi="仿宋" w:eastAsia="仿宋" w:cs="黑体"/>
          <w:sz w:val="32"/>
          <w:szCs w:val="32"/>
        </w:rPr>
        <w:t>赛区风采奖</w:t>
      </w:r>
      <w:r>
        <w:rPr>
          <w:rFonts w:hint="eastAsia" w:ascii="仿宋" w:hAnsi="仿宋" w:eastAsia="仿宋" w:cs="黑体"/>
          <w:sz w:val="32"/>
          <w:szCs w:val="32"/>
        </w:rPr>
        <w:t>”，由各地税协负责颁奖。</w:t>
      </w:r>
    </w:p>
    <w:p w14:paraId="6027430E">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同一事务所不重复获奖。</w:t>
      </w:r>
    </w:p>
    <w:p w14:paraId="5D4451DE">
      <w:pPr>
        <w:widowControl/>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七、竞赛实施流程</w:t>
      </w:r>
    </w:p>
    <w:p w14:paraId="21058D10">
      <w:pPr>
        <w:widowControl/>
        <w:spacing w:line="360" w:lineRule="auto"/>
        <w:ind w:firstLine="640" w:firstLineChars="200"/>
        <w:jc w:val="left"/>
        <w:rPr>
          <w:rFonts w:hint="eastAsia" w:ascii="楷体" w:hAnsi="楷体" w:eastAsia="楷体" w:cs="黑体"/>
          <w:sz w:val="32"/>
          <w:szCs w:val="32"/>
        </w:rPr>
      </w:pPr>
      <w:r>
        <w:rPr>
          <w:rFonts w:hint="eastAsia" w:ascii="楷体" w:hAnsi="楷体" w:eastAsia="楷体" w:cs="黑体"/>
          <w:sz w:val="32"/>
          <w:szCs w:val="32"/>
        </w:rPr>
        <w:t>（一）报名阶段</w:t>
      </w:r>
    </w:p>
    <w:p w14:paraId="6D01695D">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报名渠道：中税协官方网站、微信公众号开通线上报名入口，事务所按要求填写1台终端或多台终端参赛信息。</w:t>
      </w:r>
    </w:p>
    <w:p w14:paraId="6A340AB8">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资格审核：主办方在5个工作日内完成报名资格审核，审核通过后发送参赛事务所。</w:t>
      </w:r>
    </w:p>
    <w:p w14:paraId="698C3173">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赛前准备：AI竞赛平台公布竞赛方案、操作指南、评分标准等信息。各地税协及事务所自行组织开展赛前培训学习。</w:t>
      </w:r>
    </w:p>
    <w:p w14:paraId="4251E53D">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（二）赛前培训学习阶段</w:t>
      </w:r>
    </w:p>
    <w:p w14:paraId="5AD4348B">
      <w:pPr>
        <w:widowControl/>
        <w:spacing w:line="360" w:lineRule="auto"/>
        <w:ind w:firstLine="640" w:firstLineChars="200"/>
        <w:rPr>
          <w:rFonts w:hint="eastAsia" w:ascii="仿宋" w:hAnsi="仿宋" w:eastAsia="仿宋" w:cs="黑体"/>
          <w:sz w:val="32"/>
          <w:szCs w:val="32"/>
        </w:rPr>
      </w:pPr>
      <w:r>
        <w:rPr>
          <w:rFonts w:hint="eastAsia" w:ascii="仿宋" w:hAnsi="仿宋" w:eastAsia="仿宋" w:cs="黑体"/>
          <w:sz w:val="32"/>
          <w:szCs w:val="32"/>
        </w:rPr>
        <w:t>中税协印发赛前学习指导意见，各地税协、参赛事务所自行组织赛前专项培训，内容包括：竞赛规则解读、考题考核重点、智能工具及辅助工具操作技巧、AI与涉税业务融合实操案例。</w:t>
      </w:r>
    </w:p>
    <w:p w14:paraId="19F09B1B">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（三）竞赛实施阶段</w:t>
      </w:r>
    </w:p>
    <w:p w14:paraId="3E7B0FC9">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初赛：线上实操，竞赛时间90分钟。选手在竞赛系统平台登录后，自主从基础、中级、高级三类案例题中任选3道题。每道题均要求完成“提示词设计→AI初稿+人工纠错→最终正式税务报告”全流程操作。竞赛平台利用AI智能评审系统，对成果进行自动评审评分，当场公布初赛成绩。</w:t>
      </w:r>
    </w:p>
    <w:p w14:paraId="1219559C">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复赛：线上实操，竞赛时间90分钟，规则与初赛一致。选手完成全流程操作并提交成果后，由AI智能评审系统评分，5个工作日内公布复赛成绩及晋级决赛名单。</w:t>
      </w:r>
    </w:p>
    <w:p w14:paraId="70F5EF00">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决赛：线下集中进行，复赛成绩排序前50%或位居复赛成绩前30名的事务所参加高端竞技，要求提前准备案例，现场运用智能体、AI（豆包、千问、DeepSeek等）+辅助工具（OCR、API、RPA等）解决税务代理问题。专家评审组对高端竞技决赛进行评分。成绩名列前10名的事务所参加AI应用展示环节，由10个晋级事务所逐一进行AI运用展示。</w:t>
      </w:r>
    </w:p>
    <w:p w14:paraId="25DECF15">
      <w:pPr>
        <w:widowControl/>
        <w:spacing w:line="360" w:lineRule="auto"/>
        <w:ind w:firstLine="640" w:firstLineChars="200"/>
        <w:rPr>
          <w:rFonts w:hint="eastAsia" w:ascii="楷体" w:hAnsi="楷体" w:eastAsia="楷体" w:cs="黑体"/>
          <w:sz w:val="32"/>
          <w:szCs w:val="32"/>
        </w:rPr>
      </w:pPr>
      <w:r>
        <w:rPr>
          <w:rFonts w:hint="eastAsia" w:ascii="楷体" w:hAnsi="楷体" w:eastAsia="楷体" w:cs="黑体"/>
          <w:sz w:val="32"/>
          <w:szCs w:val="32"/>
        </w:rPr>
        <w:t>（四）成绩公示与奖项颁发</w:t>
      </w:r>
    </w:p>
    <w:p w14:paraId="6FBB2AAC">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成绩公布：中税协在决赛现场公布决赛成绩及获奖名单。</w:t>
      </w:r>
    </w:p>
    <w:p w14:paraId="7A6104B6">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奖项颁发：决赛（AI应用展示）现场由中税协领导为决赛获奖单位颁奖；各省区市和计划单列市获得“</w:t>
      </w:r>
      <w:r>
        <w:rPr>
          <w:rFonts w:ascii="仿宋" w:hAnsi="仿宋" w:eastAsia="仿宋" w:cs="黑体"/>
          <w:sz w:val="32"/>
          <w:szCs w:val="32"/>
        </w:rPr>
        <w:t>赛区风采奖</w:t>
      </w:r>
      <w:r>
        <w:rPr>
          <w:rFonts w:hint="eastAsia" w:ascii="仿宋" w:hAnsi="仿宋" w:eastAsia="仿宋" w:cs="黑体"/>
          <w:sz w:val="32"/>
          <w:szCs w:val="32"/>
        </w:rPr>
        <w:t>”的事务所，由各地税协负责颁奖，未到场者由竞赛组织方负责邮寄，在当地领取证书、奖牌。</w:t>
      </w:r>
    </w:p>
    <w:p w14:paraId="76FEC09C">
      <w:pPr>
        <w:widowControl/>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八、附则</w:t>
      </w:r>
    </w:p>
    <w:p w14:paraId="263022AD">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本方案由中国注册税务师协会负责解释。</w:t>
      </w:r>
    </w:p>
    <w:p w14:paraId="1FAF0005">
      <w:pPr>
        <w:widowControl/>
        <w:spacing w:line="360" w:lineRule="auto"/>
        <w:rPr>
          <w:rFonts w:hint="eastAsia" w:ascii="仿宋" w:hAnsi="仿宋" w:eastAsia="仿宋" w:cs="黑体"/>
          <w:sz w:val="32"/>
          <w:szCs w:val="32"/>
        </w:rPr>
      </w:pPr>
      <w:r>
        <w:rPr>
          <w:rFonts w:hint="eastAsia" w:ascii="仿宋" w:hAnsi="仿宋" w:eastAsia="仿宋" w:cs="黑体"/>
          <w:sz w:val="32"/>
          <w:szCs w:val="32"/>
        </w:rPr>
        <w:tab/>
      </w:r>
      <w:r>
        <w:rPr>
          <w:rFonts w:hint="eastAsia" w:ascii="仿宋" w:hAnsi="仿宋" w:eastAsia="仿宋" w:cs="黑体"/>
          <w:sz w:val="32"/>
          <w:szCs w:val="32"/>
        </w:rPr>
        <w:t xml:space="preserve">  主办方有权根据实际情况对竞赛时间、题目设置、评分标准等进行微调，调整后将及时在官方平台公示。</w:t>
      </w:r>
    </w:p>
    <w:p w14:paraId="334C5870">
      <w:pPr>
        <w:spacing w:line="360" w:lineRule="auto"/>
        <w:ind w:firstLine="640" w:firstLineChars="200"/>
      </w:pPr>
      <w:r>
        <w:rPr>
          <w:rFonts w:hint="eastAsia" w:ascii="仿宋" w:hAnsi="仿宋" w:eastAsia="仿宋" w:cs="黑体"/>
          <w:sz w:val="32"/>
          <w:szCs w:val="32"/>
        </w:rPr>
        <w:t>参赛事务所报名成功即视为认可本方案所有条款，须严格遵守竞赛相关规则。</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1760">
    <w:pPr>
      <w:pStyle w:val="2"/>
      <w:jc w:val="center"/>
    </w:pPr>
    <w:r>
      <w:fldChar w:fldCharType="begin"/>
    </w:r>
    <w:r>
      <w:instrText xml:space="preserve">PAGE   \* MERGEFORMAT</w:instrText>
    </w:r>
    <w:r>
      <w:fldChar w:fldCharType="separate"/>
    </w:r>
    <w:r>
      <w:rPr>
        <w:lang w:val="zh-CN"/>
      </w:rP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DF"/>
    <w:rsid w:val="00002CA6"/>
    <w:rsid w:val="00044519"/>
    <w:rsid w:val="00062845"/>
    <w:rsid w:val="0008045B"/>
    <w:rsid w:val="000913A4"/>
    <w:rsid w:val="000D2E9D"/>
    <w:rsid w:val="000E07BD"/>
    <w:rsid w:val="000E55D5"/>
    <w:rsid w:val="000E67A2"/>
    <w:rsid w:val="000F7020"/>
    <w:rsid w:val="001056E0"/>
    <w:rsid w:val="0011204D"/>
    <w:rsid w:val="0013395B"/>
    <w:rsid w:val="001405B9"/>
    <w:rsid w:val="00142A7B"/>
    <w:rsid w:val="00143C0F"/>
    <w:rsid w:val="001517B3"/>
    <w:rsid w:val="00176BAB"/>
    <w:rsid w:val="00180C48"/>
    <w:rsid w:val="00194114"/>
    <w:rsid w:val="001A3605"/>
    <w:rsid w:val="001A77DB"/>
    <w:rsid w:val="001B01D8"/>
    <w:rsid w:val="001B2AC7"/>
    <w:rsid w:val="001B2BCF"/>
    <w:rsid w:val="001D7FAE"/>
    <w:rsid w:val="001E12DC"/>
    <w:rsid w:val="001E63B7"/>
    <w:rsid w:val="00200CA0"/>
    <w:rsid w:val="00205701"/>
    <w:rsid w:val="00245898"/>
    <w:rsid w:val="002724AF"/>
    <w:rsid w:val="00283B04"/>
    <w:rsid w:val="002A1DAF"/>
    <w:rsid w:val="002C08BB"/>
    <w:rsid w:val="002C2139"/>
    <w:rsid w:val="002C7B1C"/>
    <w:rsid w:val="002D0767"/>
    <w:rsid w:val="002D648B"/>
    <w:rsid w:val="002E0250"/>
    <w:rsid w:val="002E21D5"/>
    <w:rsid w:val="002E2D80"/>
    <w:rsid w:val="002F09FB"/>
    <w:rsid w:val="002F3EE4"/>
    <w:rsid w:val="00304FFF"/>
    <w:rsid w:val="00310933"/>
    <w:rsid w:val="00315752"/>
    <w:rsid w:val="003459C3"/>
    <w:rsid w:val="00346746"/>
    <w:rsid w:val="00363C90"/>
    <w:rsid w:val="00381912"/>
    <w:rsid w:val="003936F2"/>
    <w:rsid w:val="00397B01"/>
    <w:rsid w:val="003D6149"/>
    <w:rsid w:val="003F3E3F"/>
    <w:rsid w:val="00463549"/>
    <w:rsid w:val="00463E0B"/>
    <w:rsid w:val="00467F15"/>
    <w:rsid w:val="004924F2"/>
    <w:rsid w:val="004951AC"/>
    <w:rsid w:val="004A1465"/>
    <w:rsid w:val="004B1278"/>
    <w:rsid w:val="004F1166"/>
    <w:rsid w:val="004F18FE"/>
    <w:rsid w:val="004F20A8"/>
    <w:rsid w:val="00516B63"/>
    <w:rsid w:val="00550DBF"/>
    <w:rsid w:val="00553949"/>
    <w:rsid w:val="0056475C"/>
    <w:rsid w:val="00582F9B"/>
    <w:rsid w:val="005843F3"/>
    <w:rsid w:val="00585AB7"/>
    <w:rsid w:val="005E3595"/>
    <w:rsid w:val="005E69D9"/>
    <w:rsid w:val="005F5CA0"/>
    <w:rsid w:val="00615CE5"/>
    <w:rsid w:val="006262B5"/>
    <w:rsid w:val="00647D0C"/>
    <w:rsid w:val="006503BC"/>
    <w:rsid w:val="006533BF"/>
    <w:rsid w:val="006567B0"/>
    <w:rsid w:val="00670601"/>
    <w:rsid w:val="00672A16"/>
    <w:rsid w:val="00685503"/>
    <w:rsid w:val="0069186D"/>
    <w:rsid w:val="006C159D"/>
    <w:rsid w:val="006D5E87"/>
    <w:rsid w:val="006E3DF4"/>
    <w:rsid w:val="00700DB9"/>
    <w:rsid w:val="00706305"/>
    <w:rsid w:val="00706A2D"/>
    <w:rsid w:val="00720920"/>
    <w:rsid w:val="00720B6B"/>
    <w:rsid w:val="007341BF"/>
    <w:rsid w:val="0073559B"/>
    <w:rsid w:val="00745B03"/>
    <w:rsid w:val="00752951"/>
    <w:rsid w:val="00764DA5"/>
    <w:rsid w:val="00777F2F"/>
    <w:rsid w:val="00784107"/>
    <w:rsid w:val="007919C3"/>
    <w:rsid w:val="007930F7"/>
    <w:rsid w:val="007A75DC"/>
    <w:rsid w:val="007D1DC5"/>
    <w:rsid w:val="007F5F24"/>
    <w:rsid w:val="008116F7"/>
    <w:rsid w:val="008330EE"/>
    <w:rsid w:val="00856D34"/>
    <w:rsid w:val="00882969"/>
    <w:rsid w:val="008865A6"/>
    <w:rsid w:val="008A5508"/>
    <w:rsid w:val="008A71E5"/>
    <w:rsid w:val="008E3EB5"/>
    <w:rsid w:val="008E4DB1"/>
    <w:rsid w:val="008E6CE8"/>
    <w:rsid w:val="008F7AFD"/>
    <w:rsid w:val="008F7CEC"/>
    <w:rsid w:val="0091081A"/>
    <w:rsid w:val="00927BA3"/>
    <w:rsid w:val="0094782A"/>
    <w:rsid w:val="009966B6"/>
    <w:rsid w:val="009A0F88"/>
    <w:rsid w:val="009A199F"/>
    <w:rsid w:val="009B0616"/>
    <w:rsid w:val="009B0C85"/>
    <w:rsid w:val="009E2946"/>
    <w:rsid w:val="009F1BD0"/>
    <w:rsid w:val="00A1797F"/>
    <w:rsid w:val="00A31CDF"/>
    <w:rsid w:val="00A42A23"/>
    <w:rsid w:val="00A70231"/>
    <w:rsid w:val="00A71576"/>
    <w:rsid w:val="00AB4A06"/>
    <w:rsid w:val="00AC07F2"/>
    <w:rsid w:val="00AC459D"/>
    <w:rsid w:val="00AE098B"/>
    <w:rsid w:val="00AF745F"/>
    <w:rsid w:val="00B50710"/>
    <w:rsid w:val="00B635EA"/>
    <w:rsid w:val="00B84900"/>
    <w:rsid w:val="00B86EEF"/>
    <w:rsid w:val="00BF55FF"/>
    <w:rsid w:val="00C36C8D"/>
    <w:rsid w:val="00C406EB"/>
    <w:rsid w:val="00C47C73"/>
    <w:rsid w:val="00C61F16"/>
    <w:rsid w:val="00C62188"/>
    <w:rsid w:val="00C65444"/>
    <w:rsid w:val="00C91950"/>
    <w:rsid w:val="00C928EA"/>
    <w:rsid w:val="00C96423"/>
    <w:rsid w:val="00CB4DAC"/>
    <w:rsid w:val="00CC76F8"/>
    <w:rsid w:val="00CD0968"/>
    <w:rsid w:val="00CD5150"/>
    <w:rsid w:val="00CF141E"/>
    <w:rsid w:val="00CF21A3"/>
    <w:rsid w:val="00CF5EDF"/>
    <w:rsid w:val="00D258D5"/>
    <w:rsid w:val="00D4400A"/>
    <w:rsid w:val="00D82984"/>
    <w:rsid w:val="00D855C3"/>
    <w:rsid w:val="00DA7AC2"/>
    <w:rsid w:val="00DB7100"/>
    <w:rsid w:val="00DD75F7"/>
    <w:rsid w:val="00E25071"/>
    <w:rsid w:val="00E3361D"/>
    <w:rsid w:val="00E86C72"/>
    <w:rsid w:val="00EB1F79"/>
    <w:rsid w:val="00EB2064"/>
    <w:rsid w:val="00ED4547"/>
    <w:rsid w:val="00ED56D1"/>
    <w:rsid w:val="00ED618A"/>
    <w:rsid w:val="00EF5205"/>
    <w:rsid w:val="00F03040"/>
    <w:rsid w:val="00F13050"/>
    <w:rsid w:val="00F35F42"/>
    <w:rsid w:val="00F435C5"/>
    <w:rsid w:val="00F542B4"/>
    <w:rsid w:val="00F545BE"/>
    <w:rsid w:val="00F57941"/>
    <w:rsid w:val="00F77204"/>
    <w:rsid w:val="00FD1A38"/>
    <w:rsid w:val="00FE752D"/>
    <w:rsid w:val="1073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rPr>
      <w:rFonts w:eastAsia="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5188</Words>
  <Characters>5335</Characters>
  <Lines>146</Lines>
  <Paragraphs>114</Paragraphs>
  <TotalTime>18</TotalTime>
  <ScaleCrop>false</ScaleCrop>
  <LinksUpToDate>false</LinksUpToDate>
  <CharactersWithSpaces>5385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2026-04-14T06:36:00Z</dcterms:created>
  <dc:creator>??</dc:creator>
  <cp:lastModifiedBy>刘娜</cp:lastModifiedBy>
  <dcterms:modified xsi:type="dcterms:W3CDTF">2026-04-16T03:39:45Z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7D9507AA31E74000BE72E1BA9A95F39A_13</vt:lpwstr>
  </property>
</Properties>
</file>